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宋体" w:eastAsia="黑体"/>
          <w:sz w:val="44"/>
        </w:rPr>
      </w:pPr>
    </w:p>
    <w:p>
      <w:pPr>
        <w:jc w:val="center"/>
        <w:rPr>
          <w:rFonts w:hint="eastAsia" w:ascii="黑体" w:hAnsi="宋体" w:eastAsia="黑体"/>
          <w:sz w:val="44"/>
        </w:rPr>
      </w:pPr>
    </w:p>
    <w:p>
      <w:pPr>
        <w:jc w:val="center"/>
        <w:rPr>
          <w:rFonts w:hint="eastAsia" w:ascii="黑体" w:hAnsi="宋体" w:eastAsia="黑体"/>
          <w:sz w:val="44"/>
        </w:rPr>
      </w:pPr>
    </w:p>
    <w:p>
      <w:pPr>
        <w:jc w:val="center"/>
        <w:rPr>
          <w:rFonts w:hint="eastAsia" w:ascii="黑体" w:hAnsi="宋体" w:eastAsia="黑体"/>
          <w:sz w:val="44"/>
        </w:rPr>
      </w:pPr>
    </w:p>
    <w:tbl>
      <w:tblPr>
        <w:tblStyle w:val="36"/>
        <w:tblpPr w:leftFromText="180" w:rightFromText="180" w:vertAnchor="text" w:horzAnchor="page" w:tblpX="1270" w:tblpY="129"/>
        <w:tblOverlap w:val="never"/>
        <w:tblW w:w="9855" w:type="dxa"/>
        <w:tblInd w:w="0" w:type="dxa"/>
        <w:tblLayout w:type="fixed"/>
        <w:tblCellMar>
          <w:top w:w="0" w:type="dxa"/>
          <w:left w:w="108" w:type="dxa"/>
          <w:bottom w:w="0" w:type="dxa"/>
          <w:right w:w="108" w:type="dxa"/>
        </w:tblCellMar>
      </w:tblPr>
      <w:tblGrid>
        <w:gridCol w:w="9855"/>
      </w:tblGrid>
      <w:tr>
        <w:tblPrEx>
          <w:tblCellMar>
            <w:top w:w="0" w:type="dxa"/>
            <w:left w:w="108" w:type="dxa"/>
            <w:bottom w:w="0" w:type="dxa"/>
            <w:right w:w="108" w:type="dxa"/>
          </w:tblCellMar>
        </w:tblPrEx>
        <w:trPr>
          <w:trHeight w:val="1440" w:hRule="atLeast"/>
        </w:trPr>
        <w:tc>
          <w:tcPr>
            <w:tcW w:w="9855" w:type="dxa"/>
            <w:tcBorders>
              <w:bottom w:val="single" w:color="4F81BD" w:sz="4" w:space="0"/>
            </w:tcBorders>
            <w:vAlign w:val="center"/>
          </w:tcPr>
          <w:p>
            <w:pPr>
              <w:jc w:val="center"/>
              <w:rPr>
                <w:rFonts w:ascii="Cambria" w:hAnsi="Cambria" w:eastAsia="黑体"/>
                <w:sz w:val="70"/>
                <w:szCs w:val="70"/>
              </w:rPr>
            </w:pPr>
            <w:r>
              <w:rPr>
                <w:rFonts w:hint="eastAsia" w:ascii="黑体" w:hAnsi="宋体" w:eastAsia="黑体"/>
                <w:sz w:val="44"/>
              </w:rPr>
              <w:t>《</w:t>
            </w:r>
            <w:r>
              <w:rPr>
                <w:rFonts w:hint="eastAsia" w:ascii="宋体" w:hAnsi="宋体" w:cs="宋体"/>
                <w:b/>
                <w:sz w:val="52"/>
                <w:szCs w:val="52"/>
                <w:lang w:bidi="ar"/>
              </w:rPr>
              <w:t>风险管理报告</w:t>
            </w:r>
            <w:r>
              <w:rPr>
                <w:rFonts w:hint="eastAsia" w:ascii="黑体" w:hAnsi="宋体" w:eastAsia="黑体"/>
                <w:sz w:val="44"/>
              </w:rPr>
              <w:t>》</w:t>
            </w:r>
          </w:p>
        </w:tc>
      </w:tr>
      <w:tr>
        <w:tblPrEx>
          <w:tblCellMar>
            <w:top w:w="0" w:type="dxa"/>
            <w:left w:w="108" w:type="dxa"/>
            <w:bottom w:w="0" w:type="dxa"/>
            <w:right w:w="108" w:type="dxa"/>
          </w:tblCellMar>
        </w:tblPrEx>
        <w:trPr>
          <w:trHeight w:val="720" w:hRule="atLeast"/>
        </w:trPr>
        <w:tc>
          <w:tcPr>
            <w:tcW w:w="9855" w:type="dxa"/>
            <w:tcBorders>
              <w:top w:val="single" w:color="4F81BD" w:sz="4" w:space="0"/>
            </w:tcBorders>
            <w:vAlign w:val="center"/>
          </w:tcPr>
          <w:p>
            <w:pPr>
              <w:pStyle w:val="113"/>
              <w:jc w:val="center"/>
              <w:rPr>
                <w:rFonts w:hint="eastAsia" w:ascii="宋体" w:hAnsi="宋体" w:cs="宋体"/>
                <w:sz w:val="24"/>
              </w:rPr>
            </w:pPr>
            <w:r>
              <w:rPr>
                <w:rFonts w:hint="eastAsia" w:ascii="宋体" w:hAnsi="宋体" w:cs="宋体"/>
                <w:b/>
                <w:sz w:val="24"/>
              </w:rPr>
              <w:t>文件编号：</w:t>
            </w:r>
            <w:r>
              <w:rPr>
                <w:rFonts w:cs="宋体" w:asciiTheme="majorHAnsi" w:hAnsiTheme="majorHAnsi"/>
                <w:b/>
                <w:sz w:val="24"/>
              </w:rPr>
              <w:t>JS-JL-038</w:t>
            </w:r>
          </w:p>
        </w:tc>
      </w:tr>
      <w:tr>
        <w:tblPrEx>
          <w:tblCellMar>
            <w:top w:w="0" w:type="dxa"/>
            <w:left w:w="108" w:type="dxa"/>
            <w:bottom w:w="0" w:type="dxa"/>
            <w:right w:w="108" w:type="dxa"/>
          </w:tblCellMar>
        </w:tblPrEx>
        <w:trPr>
          <w:trHeight w:val="360" w:hRule="atLeast"/>
        </w:trPr>
        <w:tc>
          <w:tcPr>
            <w:tcW w:w="9855" w:type="dxa"/>
            <w:tcBorders>
              <w:bottom w:val="nil"/>
            </w:tcBorders>
            <w:vAlign w:val="center"/>
          </w:tcPr>
          <w:p>
            <w:pPr>
              <w:pStyle w:val="113"/>
              <w:jc w:val="center"/>
              <w:rPr>
                <w:rFonts w:hint="eastAsia" w:ascii="宋体" w:hAnsi="宋体" w:cs="宋体"/>
                <w:sz w:val="24"/>
              </w:rPr>
            </w:pPr>
            <w:r>
              <w:rPr>
                <w:rFonts w:hint="eastAsia" w:ascii="宋体" w:hAnsi="宋体" w:cs="宋体"/>
                <w:b/>
                <w:sz w:val="24"/>
              </w:rPr>
              <w:t>版本：</w:t>
            </w:r>
            <w:r>
              <w:rPr>
                <w:rFonts w:cs="宋体" w:asciiTheme="majorHAnsi" w:hAnsiTheme="majorHAnsi"/>
                <w:b/>
                <w:sz w:val="24"/>
              </w:rPr>
              <w:t>A1</w:t>
            </w:r>
          </w:p>
        </w:tc>
      </w:tr>
    </w:tbl>
    <w:p/>
    <w:p/>
    <w:p/>
    <w:p/>
    <w:p>
      <w:pPr>
        <w:pStyle w:val="34"/>
        <w:rPr>
          <w:rFonts w:hint="eastAsia" w:ascii="宋体" w:hAnsi="宋体" w:cs="宋体"/>
          <w:sz w:val="40"/>
          <w:szCs w:val="40"/>
        </w:rPr>
      </w:pPr>
    </w:p>
    <w:p>
      <w:pPr>
        <w:pStyle w:val="113"/>
        <w:jc w:val="center"/>
        <w:rPr>
          <w:rFonts w:ascii="Cambria" w:hAnsi="Cambria"/>
          <w:b/>
          <w:sz w:val="24"/>
        </w:rPr>
      </w:pPr>
    </w:p>
    <w:tbl>
      <w:tblPr>
        <w:tblStyle w:val="36"/>
        <w:tblpPr w:leftFromText="180" w:rightFromText="180" w:vertAnchor="text" w:horzAnchor="page" w:tblpX="1470" w:tblpY="395"/>
        <w:tblW w:w="96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2"/>
        <w:gridCol w:w="3223"/>
        <w:gridCol w:w="1637"/>
        <w:gridCol w:w="32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1542" w:type="dxa"/>
            <w:vAlign w:val="center"/>
          </w:tcPr>
          <w:p>
            <w:pPr>
              <w:tabs>
                <w:tab w:val="left" w:pos="9356"/>
              </w:tabs>
              <w:rPr>
                <w:bCs/>
                <w:sz w:val="24"/>
              </w:rPr>
            </w:pPr>
            <w:r>
              <w:rPr>
                <w:bCs/>
                <w:sz w:val="24"/>
              </w:rPr>
              <w:t>起草人：</w:t>
            </w:r>
          </w:p>
        </w:tc>
        <w:tc>
          <w:tcPr>
            <w:tcW w:w="3223" w:type="dxa"/>
            <w:vAlign w:val="center"/>
          </w:tcPr>
          <w:p>
            <w:pPr>
              <w:tabs>
                <w:tab w:val="left" w:pos="9356"/>
              </w:tabs>
              <w:spacing w:line="360" w:lineRule="auto"/>
              <w:jc w:val="center"/>
              <w:rPr>
                <w:bCs/>
                <w:sz w:val="24"/>
              </w:rPr>
            </w:pPr>
          </w:p>
        </w:tc>
        <w:tc>
          <w:tcPr>
            <w:tcW w:w="1637" w:type="dxa"/>
            <w:vAlign w:val="center"/>
          </w:tcPr>
          <w:p>
            <w:pPr>
              <w:tabs>
                <w:tab w:val="left" w:pos="9356"/>
              </w:tabs>
              <w:rPr>
                <w:bCs/>
                <w:sz w:val="24"/>
              </w:rPr>
            </w:pPr>
            <w:r>
              <w:rPr>
                <w:bCs/>
                <w:sz w:val="24"/>
              </w:rPr>
              <w:t>起草日期：</w:t>
            </w:r>
          </w:p>
        </w:tc>
        <w:tc>
          <w:tcPr>
            <w:tcW w:w="3204" w:type="dxa"/>
            <w:vAlign w:val="center"/>
          </w:tcPr>
          <w:p>
            <w:pPr>
              <w:tabs>
                <w:tab w:val="left" w:pos="9356"/>
              </w:tabs>
              <w:jc w:val="center"/>
              <w:rPr>
                <w:bCs/>
                <w:sz w:val="24"/>
              </w:rPr>
            </w:pPr>
            <w:r>
              <w:rPr>
                <w:bCs/>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1542" w:type="dxa"/>
            <w:vAlign w:val="center"/>
          </w:tcPr>
          <w:p>
            <w:pPr>
              <w:tabs>
                <w:tab w:val="left" w:pos="9356"/>
              </w:tabs>
              <w:rPr>
                <w:sz w:val="24"/>
              </w:rPr>
            </w:pPr>
            <w:r>
              <w:rPr>
                <w:bCs/>
                <w:sz w:val="24"/>
              </w:rPr>
              <w:t>审核人：</w:t>
            </w:r>
          </w:p>
        </w:tc>
        <w:tc>
          <w:tcPr>
            <w:tcW w:w="3223" w:type="dxa"/>
            <w:vAlign w:val="center"/>
          </w:tcPr>
          <w:p>
            <w:pPr>
              <w:tabs>
                <w:tab w:val="left" w:pos="9356"/>
              </w:tabs>
              <w:spacing w:line="360" w:lineRule="auto"/>
              <w:jc w:val="center"/>
              <w:rPr>
                <w:bCs/>
                <w:sz w:val="24"/>
              </w:rPr>
            </w:pPr>
          </w:p>
        </w:tc>
        <w:tc>
          <w:tcPr>
            <w:tcW w:w="1637" w:type="dxa"/>
            <w:vAlign w:val="center"/>
          </w:tcPr>
          <w:p>
            <w:pPr>
              <w:tabs>
                <w:tab w:val="left" w:pos="9356"/>
              </w:tabs>
              <w:rPr>
                <w:sz w:val="24"/>
              </w:rPr>
            </w:pPr>
            <w:r>
              <w:rPr>
                <w:bCs/>
                <w:sz w:val="24"/>
              </w:rPr>
              <w:t>审核日期：</w:t>
            </w:r>
          </w:p>
        </w:tc>
        <w:tc>
          <w:tcPr>
            <w:tcW w:w="3204" w:type="dxa"/>
            <w:vAlign w:val="center"/>
          </w:tcPr>
          <w:p>
            <w:pPr>
              <w:tabs>
                <w:tab w:val="left" w:pos="9356"/>
              </w:tabs>
              <w:jc w:val="center"/>
              <w:rPr>
                <w:bCs/>
                <w:sz w:val="24"/>
              </w:rPr>
            </w:pPr>
            <w:r>
              <w:rPr>
                <w:bCs/>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1542" w:type="dxa"/>
            <w:vAlign w:val="center"/>
          </w:tcPr>
          <w:p>
            <w:pPr>
              <w:tabs>
                <w:tab w:val="left" w:pos="9356"/>
              </w:tabs>
              <w:rPr>
                <w:sz w:val="24"/>
              </w:rPr>
            </w:pPr>
            <w:r>
              <w:rPr>
                <w:bCs/>
                <w:sz w:val="24"/>
              </w:rPr>
              <w:t>批准人：</w:t>
            </w:r>
          </w:p>
        </w:tc>
        <w:tc>
          <w:tcPr>
            <w:tcW w:w="3223" w:type="dxa"/>
            <w:vAlign w:val="center"/>
          </w:tcPr>
          <w:p>
            <w:pPr>
              <w:tabs>
                <w:tab w:val="left" w:pos="9356"/>
              </w:tabs>
              <w:spacing w:line="360" w:lineRule="auto"/>
              <w:jc w:val="center"/>
              <w:rPr>
                <w:bCs/>
                <w:sz w:val="24"/>
              </w:rPr>
            </w:pPr>
          </w:p>
        </w:tc>
        <w:tc>
          <w:tcPr>
            <w:tcW w:w="1637" w:type="dxa"/>
            <w:vAlign w:val="center"/>
          </w:tcPr>
          <w:p>
            <w:pPr>
              <w:tabs>
                <w:tab w:val="left" w:pos="9356"/>
              </w:tabs>
              <w:rPr>
                <w:sz w:val="24"/>
              </w:rPr>
            </w:pPr>
            <w:r>
              <w:rPr>
                <w:bCs/>
                <w:sz w:val="24"/>
              </w:rPr>
              <w:t>批准日期：</w:t>
            </w:r>
          </w:p>
        </w:tc>
        <w:tc>
          <w:tcPr>
            <w:tcW w:w="3204" w:type="dxa"/>
            <w:vAlign w:val="center"/>
          </w:tcPr>
          <w:p>
            <w:pPr>
              <w:tabs>
                <w:tab w:val="left" w:pos="9356"/>
              </w:tabs>
              <w:jc w:val="center"/>
              <w:rPr>
                <w:bCs/>
                <w:sz w:val="24"/>
              </w:rPr>
            </w:pPr>
            <w:r>
              <w:rPr>
                <w:bCs/>
                <w:sz w:val="24"/>
              </w:rPr>
              <w:t xml:space="preserve">   年 </w:t>
            </w:r>
            <w:r>
              <w:rPr>
                <w:rFonts w:hint="eastAsia"/>
                <w:bCs/>
                <w:sz w:val="24"/>
              </w:rPr>
              <w:t xml:space="preserve">   </w:t>
            </w:r>
            <w:r>
              <w:rPr>
                <w:bCs/>
                <w:sz w:val="24"/>
              </w:rPr>
              <w:t xml:space="preserve">月 </w:t>
            </w:r>
            <w:r>
              <w:rPr>
                <w:rFonts w:hint="eastAsia"/>
                <w:bCs/>
                <w:sz w:val="24"/>
              </w:rPr>
              <w:t xml:space="preserve">   </w:t>
            </w:r>
            <w:r>
              <w:rPr>
                <w:bCs/>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1542" w:type="dxa"/>
            <w:vAlign w:val="center"/>
          </w:tcPr>
          <w:p>
            <w:pPr>
              <w:tabs>
                <w:tab w:val="left" w:pos="9356"/>
              </w:tabs>
              <w:rPr>
                <w:bCs/>
                <w:sz w:val="24"/>
              </w:rPr>
            </w:pPr>
            <w:r>
              <w:rPr>
                <w:bCs/>
                <w:sz w:val="24"/>
              </w:rPr>
              <w:t>发布日期：</w:t>
            </w:r>
          </w:p>
        </w:tc>
        <w:tc>
          <w:tcPr>
            <w:tcW w:w="3223" w:type="dxa"/>
            <w:vAlign w:val="center"/>
          </w:tcPr>
          <w:p>
            <w:pPr>
              <w:tabs>
                <w:tab w:val="left" w:pos="9356"/>
              </w:tabs>
              <w:jc w:val="center"/>
              <w:rPr>
                <w:bCs/>
                <w:sz w:val="24"/>
              </w:rPr>
            </w:pPr>
            <w:r>
              <w:rPr>
                <w:bCs/>
                <w:sz w:val="24"/>
              </w:rPr>
              <w:t xml:space="preserve">     年    月    日</w:t>
            </w:r>
          </w:p>
        </w:tc>
        <w:tc>
          <w:tcPr>
            <w:tcW w:w="1637" w:type="dxa"/>
            <w:vAlign w:val="center"/>
          </w:tcPr>
          <w:p>
            <w:pPr>
              <w:tabs>
                <w:tab w:val="left" w:pos="9356"/>
              </w:tabs>
              <w:rPr>
                <w:sz w:val="24"/>
              </w:rPr>
            </w:pPr>
            <w:r>
              <w:rPr>
                <w:bCs/>
                <w:sz w:val="24"/>
              </w:rPr>
              <w:t>实施日期：</w:t>
            </w:r>
          </w:p>
        </w:tc>
        <w:tc>
          <w:tcPr>
            <w:tcW w:w="3204" w:type="dxa"/>
            <w:vAlign w:val="center"/>
          </w:tcPr>
          <w:p>
            <w:pPr>
              <w:tabs>
                <w:tab w:val="left" w:pos="9356"/>
              </w:tabs>
              <w:jc w:val="center"/>
              <w:rPr>
                <w:bCs/>
                <w:sz w:val="24"/>
              </w:rPr>
            </w:pPr>
            <w:r>
              <w:rPr>
                <w:bCs/>
                <w:sz w:val="24"/>
              </w:rPr>
              <w:t xml:space="preserve">   年    月    日</w:t>
            </w:r>
          </w:p>
        </w:tc>
      </w:tr>
    </w:tbl>
    <w:p>
      <w:pPr>
        <w:rPr>
          <w:rFonts w:hint="eastAsia" w:hAnsi="宋体"/>
          <w:sz w:val="24"/>
        </w:rPr>
      </w:pPr>
    </w:p>
    <w:p>
      <w:pPr>
        <w:jc w:val="center"/>
        <w:rPr>
          <w:rFonts w:hint="eastAsia" w:hAnsi="宋体"/>
          <w:bCs/>
          <w:sz w:val="24"/>
        </w:rPr>
      </w:pPr>
    </w:p>
    <w:p>
      <w:pPr>
        <w:jc w:val="center"/>
        <w:rPr>
          <w:rFonts w:hint="eastAsia" w:hAnsi="宋体"/>
          <w:bCs/>
          <w:sz w:val="24"/>
        </w:rPr>
      </w:pPr>
    </w:p>
    <w:p>
      <w:pPr>
        <w:jc w:val="center"/>
        <w:rPr>
          <w:rFonts w:hint="eastAsia" w:hAnsi="宋体"/>
          <w:bCs/>
          <w:sz w:val="24"/>
        </w:rPr>
      </w:pPr>
    </w:p>
    <w:p>
      <w:pPr>
        <w:jc w:val="center"/>
        <w:rPr>
          <w:rFonts w:hint="eastAsia" w:hAnsi="宋体"/>
          <w:bCs/>
          <w:sz w:val="24"/>
        </w:rPr>
      </w:pPr>
    </w:p>
    <w:p>
      <w:pPr>
        <w:jc w:val="center"/>
        <w:rPr>
          <w:rFonts w:hint="eastAsia" w:hAnsi="宋体"/>
          <w:bCs/>
          <w:sz w:val="24"/>
        </w:rPr>
      </w:pPr>
    </w:p>
    <w:p>
      <w:pPr>
        <w:jc w:val="center"/>
        <w:rPr>
          <w:rFonts w:hint="eastAsia" w:hAnsi="宋体"/>
          <w:bCs/>
          <w:sz w:val="24"/>
        </w:rPr>
      </w:pPr>
    </w:p>
    <w:p>
      <w:pPr>
        <w:jc w:val="center"/>
        <w:rPr>
          <w:rFonts w:hint="eastAsia" w:hAnsi="宋体"/>
          <w:bCs/>
          <w:sz w:val="24"/>
        </w:rPr>
      </w:pPr>
    </w:p>
    <w:p>
      <w:pPr>
        <w:jc w:val="center"/>
        <w:rPr>
          <w:rFonts w:hint="eastAsia" w:hAnsi="宋体"/>
          <w:bCs/>
          <w:sz w:val="24"/>
        </w:rPr>
      </w:pPr>
    </w:p>
    <w:p>
      <w:pPr>
        <w:jc w:val="center"/>
        <w:rPr>
          <w:rFonts w:hint="eastAsia" w:hAnsi="宋体"/>
          <w:bCs/>
          <w:sz w:val="24"/>
        </w:rPr>
      </w:pPr>
      <w:r>
        <w:rPr>
          <w:rFonts w:hint="eastAsia" w:hAnsi="宋体"/>
          <w:bCs/>
          <w:sz w:val="24"/>
        </w:rPr>
        <w:t>童伴有康（河北）科技有限公司</w:t>
      </w:r>
    </w:p>
    <w:p>
      <w:pPr>
        <w:rPr>
          <w:rFonts w:cs="宋体"/>
          <w:b/>
          <w:sz w:val="36"/>
          <w:szCs w:val="40"/>
        </w:rPr>
      </w:pPr>
    </w:p>
    <w:p>
      <w:pPr>
        <w:tabs>
          <w:tab w:val="center" w:pos="5102"/>
        </w:tabs>
        <w:sectPr>
          <w:headerReference r:id="rId3" w:type="default"/>
          <w:footerReference r:id="rId5" w:type="default"/>
          <w:headerReference r:id="rId4" w:type="even"/>
          <w:footerReference r:id="rId6" w:type="even"/>
          <w:footnotePr>
            <w:numRestart w:val="eachPage"/>
          </w:footnotePr>
          <w:type w:val="nextColumn"/>
          <w:pgSz w:w="11906" w:h="16838"/>
          <w:pgMar w:top="850" w:right="851" w:bottom="850" w:left="850" w:header="851" w:footer="851" w:gutter="0"/>
          <w:paperSrc w:first="7" w:other="7"/>
          <w:pgNumType w:start="1"/>
          <w:cols w:space="720" w:num="1"/>
          <w:titlePg/>
          <w:docGrid w:type="linesAndChars" w:linePitch="312" w:charSpace="0"/>
        </w:sectPr>
      </w:pPr>
      <w:r>
        <w:tab/>
      </w:r>
    </w:p>
    <w:p>
      <w:pPr>
        <w:rPr>
          <w:sz w:val="24"/>
        </w:rPr>
      </w:pPr>
      <w:bookmarkStart w:id="46" w:name="_GoBack"/>
      <w:bookmarkEnd w:id="46"/>
    </w:p>
    <w:p>
      <w:pPr>
        <w:pStyle w:val="58"/>
        <w:keepNext w:val="0"/>
        <w:numPr>
          <w:ilvl w:val="0"/>
          <w:numId w:val="5"/>
        </w:numPr>
        <w:topLinePunct/>
        <w:spacing w:before="0" w:after="0" w:line="360" w:lineRule="auto"/>
        <w:jc w:val="left"/>
        <w:outlineLvl w:val="0"/>
        <w:rPr>
          <w:rFonts w:hint="eastAsia" w:ascii="Times New Roman" w:hAnsi="Times New Roman"/>
          <w:szCs w:val="32"/>
        </w:rPr>
      </w:pPr>
      <w:bookmarkStart w:id="0" w:name="_Toc407176760"/>
      <w:bookmarkStart w:id="1" w:name="_Toc78988826"/>
      <w:r>
        <w:rPr>
          <w:rFonts w:ascii="Times New Roman" w:hAnsi="Times New Roman"/>
          <w:szCs w:val="32"/>
        </w:rPr>
        <w:t>综述</w:t>
      </w:r>
      <w:bookmarkEnd w:id="0"/>
      <w:bookmarkEnd w:id="1"/>
    </w:p>
    <w:p>
      <w:pPr>
        <w:pStyle w:val="59"/>
        <w:keepNext w:val="0"/>
        <w:numPr>
          <w:ilvl w:val="1"/>
          <w:numId w:val="6"/>
        </w:numPr>
        <w:topLinePunct/>
        <w:spacing w:before="0" w:after="0" w:line="360" w:lineRule="auto"/>
        <w:jc w:val="left"/>
        <w:outlineLvl w:val="1"/>
        <w:rPr>
          <w:rFonts w:ascii="Times New Roman" w:hAnsi="Times New Roman"/>
          <w:sz w:val="24"/>
          <w:szCs w:val="28"/>
        </w:rPr>
      </w:pPr>
      <w:bookmarkStart w:id="2" w:name="_Toc78988827"/>
      <w:bookmarkStart w:id="3" w:name="_Toc407176761"/>
      <w:r>
        <w:rPr>
          <w:rFonts w:ascii="Times New Roman" w:hAnsi="Times New Roman"/>
          <w:sz w:val="24"/>
          <w:szCs w:val="28"/>
        </w:rPr>
        <w:t>产品概述</w:t>
      </w:r>
      <w:bookmarkEnd w:id="2"/>
      <w:bookmarkEnd w:id="3"/>
    </w:p>
    <w:p>
      <w:pPr>
        <w:spacing w:line="360" w:lineRule="auto"/>
        <w:ind w:firstLine="480" w:firstLineChars="200"/>
        <w:jc w:val="left"/>
        <w:rPr>
          <w:sz w:val="24"/>
        </w:rPr>
      </w:pPr>
      <w:r>
        <w:rPr>
          <w:rFonts w:hint="eastAsia"/>
          <w:sz w:val="24"/>
        </w:rPr>
        <w:t>本产品风险管理计划涉及的产品信息如下：</w:t>
      </w:r>
    </w:p>
    <w:p>
      <w:pPr>
        <w:spacing w:line="360" w:lineRule="auto"/>
        <w:ind w:firstLine="480" w:firstLineChars="200"/>
        <w:jc w:val="left"/>
        <w:rPr>
          <w:sz w:val="24"/>
        </w:rPr>
      </w:pPr>
      <w:r>
        <w:rPr>
          <w:rFonts w:hint="eastAsia"/>
          <w:sz w:val="24"/>
        </w:rPr>
        <w:t>产品名称：儿童手部X射线影像处理软件</w:t>
      </w:r>
    </w:p>
    <w:p>
      <w:pPr>
        <w:spacing w:line="360" w:lineRule="auto"/>
        <w:ind w:firstLine="480" w:firstLineChars="200"/>
        <w:jc w:val="left"/>
        <w:rPr>
          <w:sz w:val="24"/>
        </w:rPr>
      </w:pPr>
      <w:r>
        <w:rPr>
          <w:rFonts w:hint="eastAsia"/>
          <w:sz w:val="24"/>
        </w:rPr>
        <w:t>产品型号：</w:t>
      </w:r>
      <w:r>
        <w:rPr>
          <w:rFonts w:hint="eastAsia" w:cs="宋体"/>
          <w:sz w:val="24"/>
          <w:szCs w:val="28"/>
        </w:rPr>
        <w:t>TB-DOCTOR-01</w:t>
      </w:r>
    </w:p>
    <w:p>
      <w:pPr>
        <w:spacing w:line="360" w:lineRule="auto"/>
        <w:ind w:firstLine="480" w:firstLineChars="200"/>
        <w:jc w:val="left"/>
        <w:rPr>
          <w:sz w:val="24"/>
        </w:rPr>
      </w:pPr>
      <w:r>
        <w:rPr>
          <w:rFonts w:hint="eastAsia"/>
          <w:sz w:val="24"/>
        </w:rPr>
        <w:t>软件版本：</w:t>
      </w:r>
      <w:r>
        <w:rPr>
          <w:rFonts w:hint="eastAsia" w:cs="宋体"/>
          <w:sz w:val="24"/>
          <w:szCs w:val="28"/>
        </w:rPr>
        <w:t>V2.0.0</w:t>
      </w:r>
    </w:p>
    <w:p>
      <w:pPr>
        <w:ind w:firstLine="480" w:firstLineChars="200"/>
        <w:rPr>
          <w:sz w:val="24"/>
        </w:rPr>
      </w:pPr>
    </w:p>
    <w:p>
      <w:pPr>
        <w:pStyle w:val="112"/>
        <w:numPr>
          <w:ilvl w:val="2"/>
          <w:numId w:val="7"/>
        </w:numPr>
        <w:adjustRightInd w:val="0"/>
        <w:snapToGrid w:val="0"/>
        <w:spacing w:line="360" w:lineRule="auto"/>
        <w:ind w:firstLineChars="0"/>
        <w:jc w:val="left"/>
        <w:outlineLvl w:val="2"/>
        <w:rPr>
          <w:rFonts w:cs="宋体"/>
          <w:b/>
          <w:sz w:val="24"/>
        </w:rPr>
      </w:pPr>
      <w:bookmarkStart w:id="4" w:name="_Toc200250914"/>
      <w:bookmarkStart w:id="5" w:name="_Toc78988828"/>
      <w:bookmarkStart w:id="6" w:name="_Toc409101583"/>
      <w:bookmarkStart w:id="7" w:name="_Toc409101962"/>
      <w:bookmarkStart w:id="8" w:name="_Toc194746313"/>
      <w:bookmarkStart w:id="9" w:name="_Toc200251058"/>
      <w:r>
        <w:rPr>
          <w:rFonts w:hint="eastAsia" w:cs="宋体"/>
          <w:b/>
          <w:sz w:val="24"/>
        </w:rPr>
        <w:t>各模块功能</w:t>
      </w:r>
      <w:bookmarkEnd w:id="4"/>
      <w:bookmarkEnd w:id="5"/>
      <w:bookmarkEnd w:id="6"/>
      <w:bookmarkEnd w:id="7"/>
      <w:bookmarkEnd w:id="8"/>
      <w:bookmarkEnd w:id="9"/>
    </w:p>
    <w:p>
      <w:pPr>
        <w:adjustRightInd w:val="0"/>
        <w:snapToGrid w:val="0"/>
        <w:ind w:firstLine="480" w:firstLineChars="200"/>
        <w:jc w:val="left"/>
        <w:rPr>
          <w:sz w:val="24"/>
        </w:rPr>
      </w:pPr>
    </w:p>
    <w:p>
      <w:pPr>
        <w:pStyle w:val="62"/>
        <w:rPr>
          <w:rFonts w:ascii="Times New Roman" w:hAnsi="Times New Roman" w:eastAsia="宋体"/>
          <w:sz w:val="24"/>
          <w:szCs w:val="24"/>
        </w:rPr>
      </w:pPr>
      <w:r>
        <w:rPr>
          <w:rFonts w:hint="eastAsia" w:ascii="Times New Roman" w:hAnsi="Times New Roman" w:eastAsia="宋体" w:cs="宋体"/>
          <w:sz w:val="24"/>
          <w:szCs w:val="24"/>
        </w:rPr>
        <w:t>1）登录模块</w:t>
      </w:r>
    </w:p>
    <w:p>
      <w:pPr>
        <w:spacing w:line="460" w:lineRule="exact"/>
        <w:rPr>
          <w:rFonts w:cs="宋体"/>
          <w:kern w:val="0"/>
          <w:sz w:val="24"/>
        </w:rPr>
      </w:pPr>
      <w:r>
        <w:rPr>
          <w:rFonts w:hint="eastAsia" w:cs="宋体"/>
          <w:kern w:val="0"/>
          <w:sz w:val="24"/>
        </w:rPr>
        <w:t>a记住密码</w:t>
      </w:r>
    </w:p>
    <w:p>
      <w:pPr>
        <w:spacing w:line="460" w:lineRule="exact"/>
        <w:ind w:firstLine="240" w:firstLineChars="100"/>
        <w:rPr>
          <w:rFonts w:cs="宋体"/>
          <w:kern w:val="0"/>
          <w:sz w:val="24"/>
        </w:rPr>
      </w:pPr>
      <w:r>
        <w:rPr>
          <w:rFonts w:hint="eastAsia" w:cs="宋体"/>
          <w:kern w:val="0"/>
          <w:sz w:val="24"/>
        </w:rPr>
        <w:t>勾选后登录账户，自动输入账号密码。</w:t>
      </w:r>
    </w:p>
    <w:p>
      <w:pPr>
        <w:spacing w:line="460" w:lineRule="exact"/>
        <w:rPr>
          <w:rFonts w:cs="宋体"/>
          <w:kern w:val="0"/>
          <w:sz w:val="24"/>
        </w:rPr>
      </w:pPr>
      <w:r>
        <w:rPr>
          <w:rFonts w:hint="eastAsia" w:cs="宋体"/>
          <w:kern w:val="0"/>
          <w:sz w:val="24"/>
        </w:rPr>
        <w:t>b忘记密码</w:t>
      </w:r>
    </w:p>
    <w:p>
      <w:pPr>
        <w:spacing w:line="460" w:lineRule="exact"/>
        <w:ind w:firstLine="240" w:firstLineChars="100"/>
        <w:rPr>
          <w:rFonts w:cs="宋体"/>
          <w:kern w:val="0"/>
          <w:sz w:val="24"/>
        </w:rPr>
      </w:pPr>
      <w:r>
        <w:rPr>
          <w:rFonts w:hint="eastAsia" w:cs="宋体"/>
          <w:kern w:val="0"/>
          <w:sz w:val="24"/>
        </w:rPr>
        <w:t>点击后出现联系人员信息。</w:t>
      </w:r>
    </w:p>
    <w:p>
      <w:pPr>
        <w:spacing w:line="460" w:lineRule="exact"/>
        <w:rPr>
          <w:rFonts w:cs="宋体"/>
          <w:kern w:val="0"/>
          <w:sz w:val="24"/>
        </w:rPr>
      </w:pPr>
      <w:r>
        <w:rPr>
          <w:rFonts w:hint="eastAsia" w:cs="宋体"/>
          <w:kern w:val="0"/>
          <w:sz w:val="24"/>
        </w:rPr>
        <w:t>c登录</w:t>
      </w:r>
    </w:p>
    <w:p>
      <w:pPr>
        <w:spacing w:line="460" w:lineRule="exact"/>
        <w:rPr>
          <w:rFonts w:cs="宋体"/>
          <w:kern w:val="0"/>
          <w:sz w:val="24"/>
        </w:rPr>
      </w:pPr>
      <w:r>
        <w:rPr>
          <w:rFonts w:hint="eastAsia" w:cs="宋体"/>
          <w:kern w:val="0"/>
          <w:sz w:val="24"/>
        </w:rPr>
        <w:t xml:space="preserve">  点击后直接跳转登录界面。</w:t>
      </w:r>
    </w:p>
    <w:p>
      <w:pPr>
        <w:pStyle w:val="62"/>
        <w:rPr>
          <w:rFonts w:ascii="Times New Roman" w:hAnsi="Times New Roman" w:eastAsia="宋体" w:cs="宋体"/>
          <w:kern w:val="0"/>
          <w:sz w:val="24"/>
        </w:rPr>
      </w:pPr>
      <w:r>
        <w:rPr>
          <w:rFonts w:hint="eastAsia" w:ascii="Times New Roman" w:hAnsi="Times New Roman" w:eastAsia="宋体" w:cs="宋体"/>
          <w:kern w:val="0"/>
          <w:sz w:val="24"/>
        </w:rPr>
        <w:t>2</w:t>
      </w:r>
      <w:r>
        <w:rPr>
          <w:rFonts w:hint="eastAsia" w:ascii="Times New Roman" w:hAnsi="Times New Roman" w:eastAsia="宋体" w:cs="宋体"/>
          <w:sz w:val="24"/>
          <w:szCs w:val="24"/>
        </w:rPr>
        <w:t>）</w:t>
      </w:r>
      <w:r>
        <w:rPr>
          <w:rFonts w:hint="eastAsia" w:ascii="Times New Roman" w:hAnsi="Times New Roman" w:eastAsia="宋体" w:cs="宋体"/>
          <w:kern w:val="0"/>
          <w:sz w:val="24"/>
        </w:rPr>
        <w:t>首页模块</w:t>
      </w:r>
    </w:p>
    <w:p>
      <w:pPr>
        <w:spacing w:line="460" w:lineRule="exact"/>
        <w:ind w:firstLine="480" w:firstLineChars="200"/>
        <w:rPr>
          <w:rFonts w:cs="宋体"/>
          <w:kern w:val="0"/>
          <w:sz w:val="24"/>
        </w:rPr>
      </w:pPr>
      <w:bookmarkStart w:id="10" w:name="_Toc78988829"/>
      <w:r>
        <w:rPr>
          <w:rFonts w:hint="eastAsia" w:cs="宋体"/>
          <w:kern w:val="0"/>
          <w:sz w:val="24"/>
        </w:rPr>
        <w:t>显示初诊/新建、复诊/档案、未完成、搜索档案、近期需复诊、累计评价、服务、报告、资讯、普及文章、专业文章、最新公告和联系我们。</w:t>
      </w:r>
    </w:p>
    <w:p>
      <w:pPr>
        <w:pStyle w:val="62"/>
        <w:numPr>
          <w:ilvl w:val="0"/>
          <w:numId w:val="8"/>
        </w:numPr>
        <w:rPr>
          <w:rFonts w:ascii="Times New Roman" w:hAnsi="Times New Roman" w:eastAsia="宋体" w:cs="宋体"/>
          <w:kern w:val="0"/>
          <w:sz w:val="24"/>
        </w:rPr>
      </w:pPr>
      <w:r>
        <w:rPr>
          <w:rFonts w:hint="eastAsia" w:ascii="Times New Roman" w:hAnsi="Times New Roman" w:eastAsia="宋体" w:cs="宋体"/>
          <w:kern w:val="0"/>
          <w:sz w:val="24"/>
        </w:rPr>
        <w:t>新建模块</w:t>
      </w:r>
    </w:p>
    <w:p>
      <w:pPr>
        <w:spacing w:line="460" w:lineRule="exact"/>
        <w:rPr>
          <w:rFonts w:cs="宋体"/>
          <w:kern w:val="0"/>
          <w:sz w:val="24"/>
        </w:rPr>
      </w:pPr>
      <w:r>
        <w:rPr>
          <w:rFonts w:hint="eastAsia" w:cs="宋体"/>
          <w:kern w:val="0"/>
          <w:sz w:val="24"/>
        </w:rPr>
        <w:t>a</w:t>
      </w:r>
      <w:bookmarkStart w:id="11" w:name="_Hlk212040988"/>
      <w:r>
        <w:rPr>
          <w:rFonts w:hint="eastAsia" w:cs="宋体"/>
          <w:kern w:val="0"/>
          <w:sz w:val="24"/>
        </w:rPr>
        <w:t>问诊功能模块</w:t>
      </w:r>
      <w:bookmarkEnd w:id="11"/>
    </w:p>
    <w:p>
      <w:pPr>
        <w:spacing w:line="460" w:lineRule="exact"/>
        <w:ind w:firstLine="240" w:firstLineChars="100"/>
        <w:rPr>
          <w:rFonts w:cs="宋体"/>
          <w:kern w:val="0"/>
          <w:sz w:val="24"/>
        </w:rPr>
      </w:pPr>
      <w:r>
        <w:rPr>
          <w:rFonts w:hint="eastAsia" w:cs="宋体"/>
          <w:kern w:val="0"/>
          <w:sz w:val="24"/>
        </w:rPr>
        <w:t>（1）输入基本信息:姓名、性别、出生日期、身高、体重、父亲身高、母亲身高和诊断日期。</w:t>
      </w:r>
    </w:p>
    <w:p>
      <w:pPr>
        <w:spacing w:line="460" w:lineRule="exact"/>
        <w:ind w:firstLine="240" w:firstLineChars="100"/>
        <w:rPr>
          <w:rFonts w:cs="宋体"/>
          <w:kern w:val="0"/>
          <w:sz w:val="24"/>
        </w:rPr>
      </w:pPr>
      <w:r>
        <w:rPr>
          <w:rFonts w:hint="eastAsia" w:cs="宋体"/>
          <w:kern w:val="0"/>
          <w:sz w:val="24"/>
        </w:rPr>
        <w:t>（2）存入未完成。</w:t>
      </w:r>
    </w:p>
    <w:p>
      <w:pPr>
        <w:spacing w:line="460" w:lineRule="exact"/>
        <w:rPr>
          <w:rFonts w:cs="宋体"/>
          <w:kern w:val="0"/>
          <w:sz w:val="24"/>
        </w:rPr>
      </w:pPr>
      <w:r>
        <w:rPr>
          <w:rFonts w:hint="eastAsia" w:cs="宋体"/>
          <w:kern w:val="0"/>
          <w:sz w:val="24"/>
        </w:rPr>
        <w:t>b</w:t>
      </w:r>
      <w:bookmarkStart w:id="12" w:name="_Hlk212040998"/>
      <w:r>
        <w:rPr>
          <w:rFonts w:hint="eastAsia" w:cs="宋体"/>
          <w:kern w:val="0"/>
          <w:sz w:val="24"/>
        </w:rPr>
        <w:t>骨龄评价模块</w:t>
      </w:r>
      <w:bookmarkEnd w:id="12"/>
    </w:p>
    <w:p>
      <w:pPr>
        <w:spacing w:line="460" w:lineRule="exact"/>
        <w:ind w:firstLine="240" w:firstLineChars="100"/>
        <w:rPr>
          <w:rFonts w:cs="宋体"/>
          <w:kern w:val="0"/>
          <w:sz w:val="24"/>
        </w:rPr>
      </w:pPr>
      <w:r>
        <w:rPr>
          <w:rFonts w:hint="eastAsia" w:cs="宋体"/>
          <w:kern w:val="0"/>
          <w:sz w:val="24"/>
        </w:rPr>
        <w:t>（1）本地上传光片、二维码上传光片，对光片进行亮度、白平衡、负片、翻转功能。</w:t>
      </w:r>
    </w:p>
    <w:p>
      <w:pPr>
        <w:spacing w:line="460" w:lineRule="exact"/>
        <w:ind w:firstLine="240" w:firstLineChars="100"/>
        <w:rPr>
          <w:rFonts w:cs="宋体"/>
          <w:kern w:val="0"/>
          <w:sz w:val="24"/>
        </w:rPr>
      </w:pPr>
      <w:r>
        <w:rPr>
          <w:rFonts w:hint="eastAsia" w:cs="宋体"/>
          <w:kern w:val="0"/>
          <w:sz w:val="24"/>
        </w:rPr>
        <w:t>（2）选择评价方法、输入评价数据。</w:t>
      </w:r>
    </w:p>
    <w:p>
      <w:pPr>
        <w:spacing w:line="460" w:lineRule="exact"/>
        <w:ind w:firstLine="240" w:firstLineChars="100"/>
        <w:rPr>
          <w:rFonts w:cs="宋体"/>
          <w:kern w:val="0"/>
          <w:sz w:val="24"/>
        </w:rPr>
      </w:pPr>
      <w:r>
        <w:rPr>
          <w:rFonts w:hint="eastAsia" w:cs="宋体"/>
          <w:kern w:val="0"/>
          <w:sz w:val="24"/>
        </w:rPr>
        <w:t>（3）存入未完成。</w:t>
      </w:r>
    </w:p>
    <w:p>
      <w:pPr>
        <w:spacing w:line="460" w:lineRule="exact"/>
        <w:ind w:firstLine="240" w:firstLineChars="100"/>
        <w:rPr>
          <w:rFonts w:cs="宋体"/>
          <w:kern w:val="0"/>
          <w:sz w:val="24"/>
        </w:rPr>
      </w:pPr>
      <w:r>
        <w:rPr>
          <w:rFonts w:hint="eastAsia" w:cs="宋体"/>
          <w:kern w:val="0"/>
          <w:sz w:val="24"/>
        </w:rPr>
        <w:t>（4）生成报告。</w:t>
      </w:r>
    </w:p>
    <w:p>
      <w:pPr>
        <w:spacing w:line="460" w:lineRule="exact"/>
        <w:rPr>
          <w:rFonts w:cs="宋体"/>
          <w:kern w:val="0"/>
          <w:sz w:val="24"/>
        </w:rPr>
      </w:pPr>
      <w:r>
        <w:rPr>
          <w:rFonts w:hint="eastAsia" w:cs="宋体"/>
          <w:kern w:val="0"/>
          <w:sz w:val="24"/>
        </w:rPr>
        <w:t>b评价报告模块</w:t>
      </w:r>
    </w:p>
    <w:p>
      <w:pPr>
        <w:spacing w:line="460" w:lineRule="exact"/>
        <w:ind w:firstLine="240" w:firstLineChars="100"/>
        <w:rPr>
          <w:rFonts w:cs="宋体"/>
          <w:kern w:val="0"/>
          <w:sz w:val="24"/>
        </w:rPr>
      </w:pPr>
      <w:r>
        <w:rPr>
          <w:rFonts w:hint="eastAsia" w:cs="宋体"/>
          <w:kern w:val="0"/>
          <w:sz w:val="24"/>
        </w:rPr>
        <w:t>（1）展示报告、输入诊断意见。</w:t>
      </w:r>
    </w:p>
    <w:p>
      <w:pPr>
        <w:spacing w:line="460" w:lineRule="exact"/>
        <w:rPr>
          <w:rFonts w:cs="宋体"/>
          <w:kern w:val="0"/>
          <w:sz w:val="24"/>
        </w:rPr>
      </w:pPr>
      <w:r>
        <w:rPr>
          <w:rFonts w:hint="eastAsia" w:cs="宋体"/>
          <w:kern w:val="0"/>
          <w:sz w:val="24"/>
        </w:rPr>
        <w:t xml:space="preserve">  （2）设置复诊时间、修改报告类型、参与/不参与纵向、新建监测、打印和导出报告。</w:t>
      </w:r>
    </w:p>
    <w:p>
      <w:pPr>
        <w:pStyle w:val="62"/>
        <w:rPr>
          <w:rFonts w:ascii="Times New Roman" w:hAnsi="Times New Roman" w:eastAsia="宋体" w:cs="宋体"/>
          <w:kern w:val="0"/>
          <w:sz w:val="24"/>
        </w:rPr>
      </w:pPr>
      <w:r>
        <w:rPr>
          <w:rFonts w:hint="eastAsia" w:ascii="Times New Roman" w:hAnsi="Times New Roman" w:eastAsia="宋体" w:cs="宋体"/>
          <w:kern w:val="0"/>
          <w:sz w:val="24"/>
        </w:rPr>
        <w:t>4) 档案模块</w:t>
      </w:r>
    </w:p>
    <w:p>
      <w:pPr>
        <w:spacing w:line="460" w:lineRule="exact"/>
        <w:ind w:firstLine="240" w:firstLineChars="100"/>
        <w:rPr>
          <w:rFonts w:cs="宋体"/>
          <w:kern w:val="0"/>
          <w:sz w:val="24"/>
        </w:rPr>
      </w:pPr>
      <w:r>
        <w:rPr>
          <w:rFonts w:hint="eastAsia" w:cs="宋体"/>
          <w:kern w:val="0"/>
          <w:sz w:val="24"/>
        </w:rPr>
        <w:t>（1）档案搜索模块，可根据姓名、诊断日期、医院病历编号、档案标签进行搜索。</w:t>
      </w:r>
    </w:p>
    <w:p>
      <w:pPr>
        <w:spacing w:line="460" w:lineRule="exact"/>
        <w:ind w:left="240"/>
        <w:rPr>
          <w:rFonts w:cs="宋体"/>
          <w:kern w:val="0"/>
          <w:sz w:val="24"/>
        </w:rPr>
      </w:pPr>
      <w:r>
        <w:rPr>
          <w:rFonts w:hint="eastAsia" w:cs="宋体"/>
          <w:kern w:val="0"/>
          <w:sz w:val="24"/>
        </w:rPr>
        <w:t>（2）病例显示模块，根据登录账号显示我的病例，其他病例。</w:t>
      </w:r>
    </w:p>
    <w:p>
      <w:pPr>
        <w:pStyle w:val="62"/>
        <w:rPr>
          <w:rFonts w:ascii="Times New Roman" w:hAnsi="Times New Roman" w:eastAsia="宋体" w:cs="宋体"/>
          <w:kern w:val="0"/>
          <w:sz w:val="24"/>
        </w:rPr>
      </w:pPr>
      <w:r>
        <w:rPr>
          <w:rFonts w:hint="eastAsia" w:ascii="Times New Roman" w:hAnsi="Times New Roman" w:eastAsia="宋体" w:cs="宋体"/>
          <w:kern w:val="0"/>
          <w:sz w:val="24"/>
        </w:rPr>
        <w:t>5）未完成模块</w:t>
      </w:r>
    </w:p>
    <w:p>
      <w:pPr>
        <w:spacing w:line="460" w:lineRule="exact"/>
        <w:ind w:firstLine="240" w:firstLineChars="100"/>
        <w:rPr>
          <w:rFonts w:cs="宋体"/>
          <w:kern w:val="0"/>
          <w:sz w:val="24"/>
        </w:rPr>
      </w:pPr>
      <w:r>
        <w:rPr>
          <w:rFonts w:hint="eastAsia" w:cs="宋体"/>
          <w:kern w:val="0"/>
          <w:sz w:val="24"/>
        </w:rPr>
        <w:t>（1）未完成诊断搜索模块，可根据姓名、诊断日期、医院病历编号进行搜索。</w:t>
      </w:r>
    </w:p>
    <w:p>
      <w:pPr>
        <w:spacing w:line="460" w:lineRule="exact"/>
        <w:ind w:firstLine="240" w:firstLineChars="100"/>
        <w:rPr>
          <w:rFonts w:cs="宋体"/>
          <w:kern w:val="0"/>
          <w:sz w:val="24"/>
        </w:rPr>
      </w:pPr>
      <w:r>
        <w:rPr>
          <w:rFonts w:hint="eastAsia" w:cs="宋体"/>
          <w:kern w:val="0"/>
          <w:sz w:val="24"/>
        </w:rPr>
        <w:t>（2）病例显示模块，根据登录账号显示我的病例或其他病例，可对病例进行继续诊断或删除。</w:t>
      </w:r>
    </w:p>
    <w:p>
      <w:pPr>
        <w:rPr>
          <w:sz w:val="24"/>
        </w:rPr>
      </w:pPr>
    </w:p>
    <w:p>
      <w:pPr>
        <w:rPr>
          <w:sz w:val="24"/>
        </w:rPr>
      </w:pPr>
    </w:p>
    <w:p>
      <w:pPr>
        <w:pStyle w:val="112"/>
        <w:numPr>
          <w:ilvl w:val="2"/>
          <w:numId w:val="7"/>
        </w:numPr>
        <w:adjustRightInd w:val="0"/>
        <w:snapToGrid w:val="0"/>
        <w:spacing w:line="360" w:lineRule="auto"/>
        <w:ind w:firstLineChars="0"/>
        <w:jc w:val="left"/>
        <w:outlineLvl w:val="2"/>
        <w:rPr>
          <w:rFonts w:cs="宋体"/>
          <w:b/>
          <w:sz w:val="24"/>
        </w:rPr>
      </w:pPr>
      <w:r>
        <w:rPr>
          <w:rFonts w:cs="宋体"/>
          <w:b/>
          <w:sz w:val="24"/>
        </w:rPr>
        <w:t>主要</w:t>
      </w:r>
      <w:r>
        <w:rPr>
          <w:rFonts w:hint="eastAsia" w:cs="宋体"/>
          <w:b/>
          <w:sz w:val="24"/>
        </w:rPr>
        <w:t>技术</w:t>
      </w:r>
      <w:r>
        <w:rPr>
          <w:rFonts w:cs="宋体"/>
          <w:b/>
          <w:sz w:val="24"/>
        </w:rPr>
        <w:t>指标：</w:t>
      </w:r>
      <w:bookmarkEnd w:id="10"/>
    </w:p>
    <w:p>
      <w:pPr>
        <w:pStyle w:val="112"/>
        <w:keepNext/>
        <w:numPr>
          <w:ilvl w:val="2"/>
          <w:numId w:val="9"/>
        </w:numPr>
        <w:tabs>
          <w:tab w:val="left" w:pos="864"/>
        </w:tabs>
        <w:spacing w:after="240" w:line="300" w:lineRule="auto"/>
        <w:ind w:firstLineChars="0"/>
        <w:outlineLvl w:val="3"/>
        <w:rPr>
          <w:rFonts w:cs="宋体"/>
          <w:b/>
          <w:bCs/>
          <w:vanish/>
          <w:sz w:val="24"/>
        </w:rPr>
      </w:pPr>
    </w:p>
    <w:p>
      <w:pPr>
        <w:pStyle w:val="62"/>
        <w:rPr>
          <w:rFonts w:ascii="Times New Roman" w:hAnsi="Times New Roman" w:eastAsia="宋体" w:cs="宋体"/>
          <w:sz w:val="24"/>
          <w:szCs w:val="24"/>
        </w:rPr>
      </w:pPr>
      <w:r>
        <w:rPr>
          <w:rFonts w:hint="eastAsia" w:ascii="Times New Roman" w:hAnsi="Times New Roman" w:eastAsia="宋体" w:cs="宋体"/>
          <w:sz w:val="24"/>
          <w:szCs w:val="24"/>
        </w:rPr>
        <w:t>1）</w:t>
      </w:r>
      <w:r>
        <w:rPr>
          <w:rFonts w:ascii="Times New Roman" w:hAnsi="Times New Roman" w:eastAsia="宋体" w:cs="宋体"/>
          <w:sz w:val="24"/>
          <w:szCs w:val="24"/>
        </w:rPr>
        <w:t>效率</w:t>
      </w:r>
    </w:p>
    <w:p>
      <w:pPr>
        <w:spacing w:line="460" w:lineRule="exact"/>
        <w:ind w:firstLine="480" w:firstLineChars="200"/>
        <w:rPr>
          <w:rFonts w:cs="宋体"/>
          <w:kern w:val="0"/>
          <w:sz w:val="24"/>
        </w:rPr>
      </w:pPr>
      <w:r>
        <w:rPr>
          <w:rFonts w:hint="eastAsia" w:cs="宋体"/>
          <w:kern w:val="0"/>
          <w:sz w:val="24"/>
        </w:rPr>
        <w:t>在系统运行环境满足配置要求时，产品性能效率应满足下列要求。</w:t>
      </w:r>
    </w:p>
    <w:tbl>
      <w:tblPr>
        <w:tblStyle w:val="37"/>
        <w:tblW w:w="0" w:type="auto"/>
        <w:tblInd w:w="59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666"/>
        <w:gridCol w:w="30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66" w:type="dxa"/>
          </w:tcPr>
          <w:p>
            <w:pPr>
              <w:spacing w:line="460" w:lineRule="exact"/>
              <w:jc w:val="left"/>
              <w:rPr>
                <w:rFonts w:cs="宋体"/>
                <w:kern w:val="0"/>
                <w:sz w:val="24"/>
              </w:rPr>
            </w:pPr>
            <w:r>
              <w:rPr>
                <w:rFonts w:hint="eastAsia" w:cs="宋体"/>
                <w:kern w:val="0"/>
                <w:sz w:val="24"/>
              </w:rPr>
              <w:t>项目</w:t>
            </w:r>
          </w:p>
        </w:tc>
        <w:tc>
          <w:tcPr>
            <w:tcW w:w="3089" w:type="dxa"/>
          </w:tcPr>
          <w:p>
            <w:pPr>
              <w:spacing w:line="460" w:lineRule="exact"/>
              <w:jc w:val="left"/>
              <w:rPr>
                <w:rFonts w:cs="宋体"/>
                <w:kern w:val="0"/>
                <w:sz w:val="24"/>
              </w:rPr>
            </w:pPr>
            <w:r>
              <w:rPr>
                <w:rFonts w:hint="eastAsia" w:cs="宋体"/>
                <w:kern w:val="0"/>
                <w:sz w:val="24"/>
              </w:rPr>
              <w:t>效率指标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66" w:type="dxa"/>
          </w:tcPr>
          <w:p>
            <w:pPr>
              <w:spacing w:line="460" w:lineRule="exact"/>
              <w:jc w:val="left"/>
              <w:rPr>
                <w:rFonts w:cs="宋体"/>
                <w:kern w:val="0"/>
                <w:sz w:val="24"/>
              </w:rPr>
            </w:pPr>
            <w:r>
              <w:rPr>
                <w:rFonts w:hint="eastAsia" w:cs="宋体"/>
                <w:kern w:val="0"/>
                <w:sz w:val="24"/>
              </w:rPr>
              <w:t>上传6M光片</w:t>
            </w:r>
          </w:p>
        </w:tc>
        <w:tc>
          <w:tcPr>
            <w:tcW w:w="3089" w:type="dxa"/>
          </w:tcPr>
          <w:p>
            <w:pPr>
              <w:spacing w:line="460" w:lineRule="exact"/>
              <w:jc w:val="left"/>
              <w:rPr>
                <w:rFonts w:cs="宋体"/>
                <w:kern w:val="0"/>
                <w:sz w:val="24"/>
              </w:rPr>
            </w:pPr>
            <w:r>
              <w:rPr>
                <w:rFonts w:hint="eastAsia" w:cs="宋体"/>
                <w:kern w:val="0"/>
                <w:sz w:val="24"/>
              </w:rPr>
              <w:t>≤5s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66" w:type="dxa"/>
          </w:tcPr>
          <w:p>
            <w:pPr>
              <w:spacing w:line="460" w:lineRule="exact"/>
              <w:jc w:val="left"/>
              <w:rPr>
                <w:rFonts w:cs="宋体"/>
                <w:kern w:val="0"/>
                <w:sz w:val="24"/>
              </w:rPr>
            </w:pPr>
            <w:r>
              <w:rPr>
                <w:rFonts w:hint="eastAsia" w:cs="宋体"/>
                <w:kern w:val="0"/>
                <w:sz w:val="24"/>
              </w:rPr>
              <w:t>报告出具</w:t>
            </w:r>
          </w:p>
        </w:tc>
        <w:tc>
          <w:tcPr>
            <w:tcW w:w="3089" w:type="dxa"/>
          </w:tcPr>
          <w:p>
            <w:pPr>
              <w:spacing w:line="460" w:lineRule="exact"/>
              <w:jc w:val="left"/>
              <w:rPr>
                <w:rFonts w:cs="宋体"/>
                <w:kern w:val="0"/>
                <w:sz w:val="24"/>
              </w:rPr>
            </w:pPr>
            <w:r>
              <w:rPr>
                <w:rFonts w:hint="eastAsia" w:cs="宋体"/>
                <w:kern w:val="0"/>
                <w:sz w:val="24"/>
              </w:rPr>
              <w:t>≤5s</w:t>
            </w:r>
          </w:p>
        </w:tc>
      </w:tr>
    </w:tbl>
    <w:p>
      <w:pPr>
        <w:pStyle w:val="62"/>
        <w:rPr>
          <w:rFonts w:ascii="Times New Roman" w:hAnsi="Times New Roman" w:eastAsia="宋体" w:cs="宋体"/>
          <w:sz w:val="24"/>
          <w:szCs w:val="24"/>
        </w:rPr>
      </w:pPr>
      <w:r>
        <w:rPr>
          <w:rFonts w:hint="eastAsia" w:ascii="Times New Roman" w:hAnsi="Times New Roman" w:eastAsia="宋体" w:cs="宋体"/>
          <w:sz w:val="24"/>
          <w:szCs w:val="24"/>
        </w:rPr>
        <w:t>2）</w:t>
      </w:r>
      <w:r>
        <w:rPr>
          <w:rFonts w:ascii="Times New Roman" w:hAnsi="Times New Roman" w:eastAsia="宋体" w:cs="宋体"/>
          <w:sz w:val="24"/>
          <w:szCs w:val="24"/>
        </w:rPr>
        <w:t>最大并发数</w:t>
      </w:r>
    </w:p>
    <w:p>
      <w:pPr>
        <w:spacing w:line="460" w:lineRule="exact"/>
        <w:ind w:firstLine="480" w:firstLineChars="200"/>
        <w:rPr>
          <w:rFonts w:cs="宋体"/>
          <w:kern w:val="0"/>
          <w:sz w:val="24"/>
        </w:rPr>
      </w:pPr>
      <w:bookmarkStart w:id="13" w:name="_Toc78988830"/>
      <w:bookmarkStart w:id="14" w:name="_Toc407176762"/>
      <w:r>
        <w:rPr>
          <w:rFonts w:hint="eastAsia" w:cs="宋体"/>
          <w:kern w:val="0"/>
          <w:sz w:val="24"/>
        </w:rPr>
        <w:t>在系统运行环境满足2.6所述的配置要求时，最大并发数为200，平均响应时间≤5s。</w:t>
      </w:r>
    </w:p>
    <w:p>
      <w:pPr>
        <w:pStyle w:val="59"/>
        <w:keepNext w:val="0"/>
        <w:topLinePunct/>
        <w:spacing w:before="0" w:after="0" w:line="360" w:lineRule="auto"/>
        <w:jc w:val="left"/>
        <w:rPr>
          <w:rFonts w:ascii="Times New Roman" w:hAnsi="Times New Roman"/>
          <w:sz w:val="24"/>
          <w:szCs w:val="24"/>
        </w:rPr>
      </w:pPr>
      <w:r>
        <w:rPr>
          <w:rFonts w:ascii="Times New Roman" w:hAnsi="Times New Roman"/>
          <w:sz w:val="24"/>
          <w:szCs w:val="24"/>
        </w:rPr>
        <w:t>1.2相关</w:t>
      </w:r>
      <w:bookmarkEnd w:id="13"/>
      <w:bookmarkEnd w:id="14"/>
      <w:r>
        <w:rPr>
          <w:rFonts w:hint="eastAsia" w:ascii="Times New Roman" w:hAnsi="Times New Roman"/>
          <w:sz w:val="24"/>
          <w:szCs w:val="24"/>
        </w:rPr>
        <w:t>文件和记录</w:t>
      </w:r>
    </w:p>
    <w:p>
      <w:pPr>
        <w:topLinePunct/>
        <w:spacing w:line="360" w:lineRule="auto"/>
        <w:ind w:firstLine="480" w:firstLineChars="200"/>
        <w:jc w:val="left"/>
        <w:rPr>
          <w:sz w:val="24"/>
          <w:szCs w:val="21"/>
        </w:rPr>
      </w:pPr>
      <w:r>
        <w:rPr>
          <w:rFonts w:hint="eastAsia"/>
          <w:sz w:val="24"/>
          <w:szCs w:val="21"/>
        </w:rPr>
        <w:t>（1）《风险管理控制程序》</w:t>
      </w:r>
    </w:p>
    <w:p>
      <w:pPr>
        <w:topLinePunct/>
        <w:spacing w:line="360" w:lineRule="auto"/>
        <w:ind w:firstLine="480" w:firstLineChars="200"/>
        <w:jc w:val="left"/>
        <w:rPr>
          <w:sz w:val="24"/>
          <w:szCs w:val="21"/>
        </w:rPr>
      </w:pPr>
      <w:r>
        <w:rPr>
          <w:rFonts w:hint="eastAsia"/>
          <w:sz w:val="24"/>
          <w:szCs w:val="21"/>
        </w:rPr>
        <w:t xml:space="preserve">（2） 产品设计开发文档（主要包括设计图纸、工艺、技术文件、检验规程） </w:t>
      </w:r>
    </w:p>
    <w:p>
      <w:pPr>
        <w:topLinePunct/>
        <w:spacing w:line="360" w:lineRule="auto"/>
        <w:ind w:firstLine="480" w:firstLineChars="200"/>
        <w:jc w:val="left"/>
        <w:rPr>
          <w:sz w:val="24"/>
          <w:szCs w:val="21"/>
        </w:rPr>
      </w:pPr>
      <w:r>
        <w:rPr>
          <w:rFonts w:hint="eastAsia"/>
          <w:sz w:val="24"/>
          <w:szCs w:val="21"/>
        </w:rPr>
        <w:t>（3） 相关法规：《医疗器械监督管理条例》、《医疗器械注册与备案管理办法》和《医疗器械说明书和标签管理规定》等</w:t>
      </w:r>
    </w:p>
    <w:p>
      <w:pPr>
        <w:topLinePunct/>
        <w:spacing w:line="360" w:lineRule="auto"/>
        <w:ind w:firstLine="480" w:firstLineChars="200"/>
        <w:jc w:val="left"/>
        <w:rPr>
          <w:sz w:val="24"/>
          <w:szCs w:val="21"/>
        </w:rPr>
      </w:pPr>
      <w:r>
        <w:rPr>
          <w:rFonts w:hint="eastAsia"/>
          <w:sz w:val="24"/>
          <w:szCs w:val="21"/>
        </w:rPr>
        <w:t>（4）相关标准 ：</w:t>
      </w:r>
    </w:p>
    <w:p>
      <w:pPr>
        <w:topLinePunct/>
        <w:spacing w:line="360" w:lineRule="auto"/>
        <w:ind w:firstLine="480" w:firstLineChars="200"/>
        <w:jc w:val="left"/>
        <w:rPr>
          <w:sz w:val="24"/>
          <w:szCs w:val="21"/>
        </w:rPr>
      </w:pPr>
      <w:r>
        <w:rPr>
          <w:rFonts w:hint="eastAsia"/>
          <w:sz w:val="24"/>
          <w:szCs w:val="21"/>
        </w:rPr>
        <w:t>1.GB/T 25000.1-2021 系统与软件工程 系统与软件质量要求和评价(SQuaRE) 第1部分：SQuaRE指南</w:t>
      </w:r>
    </w:p>
    <w:p>
      <w:pPr>
        <w:topLinePunct/>
        <w:spacing w:line="360" w:lineRule="auto"/>
        <w:ind w:firstLine="480" w:firstLineChars="200"/>
        <w:jc w:val="left"/>
        <w:rPr>
          <w:sz w:val="24"/>
          <w:szCs w:val="21"/>
        </w:rPr>
      </w:pPr>
      <w:r>
        <w:rPr>
          <w:rFonts w:hint="eastAsia"/>
          <w:sz w:val="24"/>
          <w:szCs w:val="21"/>
        </w:rPr>
        <w:t>2.GB/T 25000.51-2016 系统与软件工程 系统与软件质量要求和评价（SQuaRE） 第51部分：就绪可用软件产品（RUSP）的质量要求和测试细则</w:t>
      </w:r>
    </w:p>
    <w:p>
      <w:pPr>
        <w:topLinePunct/>
        <w:spacing w:line="360" w:lineRule="auto"/>
        <w:ind w:firstLine="480" w:firstLineChars="200"/>
        <w:jc w:val="left"/>
        <w:rPr>
          <w:sz w:val="24"/>
          <w:szCs w:val="21"/>
        </w:rPr>
      </w:pPr>
      <w:r>
        <w:rPr>
          <w:rFonts w:hint="eastAsia"/>
          <w:sz w:val="24"/>
          <w:szCs w:val="21"/>
        </w:rPr>
        <w:t>3.GB/T25000.10-2016系统与软件工程 系统与软件质量要求和评（SQuaRE） 第10部分：系统与软件质量模型</w:t>
      </w:r>
    </w:p>
    <w:p>
      <w:pPr>
        <w:topLinePunct/>
        <w:spacing w:line="360" w:lineRule="auto"/>
        <w:ind w:firstLine="480" w:firstLineChars="200"/>
        <w:jc w:val="left"/>
        <w:rPr>
          <w:sz w:val="24"/>
          <w:szCs w:val="21"/>
        </w:rPr>
      </w:pPr>
      <w:r>
        <w:rPr>
          <w:rFonts w:hint="eastAsia"/>
          <w:sz w:val="24"/>
          <w:szCs w:val="21"/>
        </w:rPr>
        <w:t>4.GB/T 15532-2008 计算机软件测试规范</w:t>
      </w:r>
    </w:p>
    <w:p>
      <w:pPr>
        <w:topLinePunct/>
        <w:spacing w:line="360" w:lineRule="auto"/>
        <w:ind w:firstLine="480" w:firstLineChars="200"/>
        <w:jc w:val="left"/>
        <w:rPr>
          <w:sz w:val="24"/>
          <w:szCs w:val="21"/>
        </w:rPr>
      </w:pPr>
      <w:r>
        <w:rPr>
          <w:rFonts w:hint="eastAsia"/>
          <w:sz w:val="24"/>
          <w:szCs w:val="21"/>
        </w:rPr>
        <w:t>5.GB/T 9386-2008 计算机软件测试文档编制规范</w:t>
      </w:r>
    </w:p>
    <w:p>
      <w:pPr>
        <w:topLinePunct/>
        <w:spacing w:line="360" w:lineRule="auto"/>
        <w:ind w:firstLine="480" w:firstLineChars="200"/>
        <w:jc w:val="left"/>
        <w:rPr>
          <w:sz w:val="24"/>
          <w:szCs w:val="21"/>
        </w:rPr>
      </w:pPr>
      <w:r>
        <w:rPr>
          <w:rFonts w:hint="eastAsia"/>
          <w:sz w:val="24"/>
          <w:szCs w:val="21"/>
        </w:rPr>
        <w:t>6.GB/T 42061-2022  医疗器械 质量管理体系 用于法规的要求</w:t>
      </w:r>
    </w:p>
    <w:p>
      <w:pPr>
        <w:topLinePunct/>
        <w:spacing w:line="360" w:lineRule="auto"/>
        <w:ind w:firstLine="480" w:firstLineChars="200"/>
        <w:jc w:val="left"/>
        <w:rPr>
          <w:sz w:val="24"/>
          <w:szCs w:val="21"/>
        </w:rPr>
      </w:pPr>
      <w:r>
        <w:rPr>
          <w:rFonts w:hint="eastAsia"/>
          <w:sz w:val="24"/>
          <w:szCs w:val="21"/>
        </w:rPr>
        <w:t>7.GB/T 42062-2022  医疗器械 风险管理对医疗器械的应用</w:t>
      </w:r>
    </w:p>
    <w:p>
      <w:pPr>
        <w:topLinePunct/>
        <w:spacing w:line="360" w:lineRule="auto"/>
        <w:ind w:firstLine="480" w:firstLineChars="200"/>
        <w:jc w:val="left"/>
        <w:rPr>
          <w:sz w:val="24"/>
          <w:szCs w:val="21"/>
        </w:rPr>
      </w:pPr>
      <w:r>
        <w:rPr>
          <w:rFonts w:hint="eastAsia"/>
          <w:sz w:val="24"/>
          <w:szCs w:val="21"/>
        </w:rPr>
        <w:t>8.YY/T 1406.1-2016 医疗器械软件 第1部分：YY/T 0316应用于医疗器械软件的指南</w:t>
      </w:r>
    </w:p>
    <w:p>
      <w:pPr>
        <w:topLinePunct/>
        <w:spacing w:line="360" w:lineRule="auto"/>
        <w:ind w:firstLine="480" w:firstLineChars="200"/>
        <w:jc w:val="left"/>
        <w:rPr>
          <w:sz w:val="24"/>
          <w:szCs w:val="21"/>
        </w:rPr>
      </w:pPr>
      <w:r>
        <w:rPr>
          <w:rFonts w:hint="eastAsia"/>
          <w:sz w:val="24"/>
          <w:szCs w:val="21"/>
        </w:rPr>
        <w:t>9.YY/T 0664-2020医疗器械软件 软件生存周期过程</w:t>
      </w:r>
    </w:p>
    <w:p>
      <w:pPr>
        <w:topLinePunct/>
        <w:spacing w:line="360" w:lineRule="auto"/>
        <w:ind w:firstLine="480" w:firstLineChars="200"/>
        <w:jc w:val="left"/>
        <w:rPr>
          <w:sz w:val="24"/>
          <w:szCs w:val="21"/>
        </w:rPr>
      </w:pPr>
    </w:p>
    <w:p>
      <w:pPr>
        <w:pStyle w:val="59"/>
        <w:keepNext w:val="0"/>
        <w:topLinePunct/>
        <w:spacing w:before="0" w:after="0" w:line="360" w:lineRule="auto"/>
        <w:jc w:val="left"/>
        <w:rPr>
          <w:rFonts w:ascii="Times New Roman" w:hAnsi="Times New Roman"/>
          <w:sz w:val="24"/>
          <w:szCs w:val="24"/>
        </w:rPr>
      </w:pPr>
      <w:bookmarkStart w:id="15" w:name="_Toc78988831"/>
      <w:r>
        <w:rPr>
          <w:rFonts w:ascii="Times New Roman" w:hAnsi="Times New Roman"/>
          <w:sz w:val="24"/>
          <w:szCs w:val="24"/>
        </w:rPr>
        <w:t xml:space="preserve">1.3 </w:t>
      </w:r>
      <w:bookmarkStart w:id="16" w:name="_Toc407176763"/>
      <w:r>
        <w:rPr>
          <w:rFonts w:ascii="Times New Roman" w:hAnsi="Times New Roman"/>
          <w:sz w:val="24"/>
          <w:szCs w:val="24"/>
        </w:rPr>
        <w:t>风险管理评审目的</w:t>
      </w:r>
      <w:bookmarkEnd w:id="15"/>
      <w:bookmarkEnd w:id="16"/>
    </w:p>
    <w:p>
      <w:pPr>
        <w:topLinePunct/>
        <w:spacing w:line="360" w:lineRule="auto"/>
        <w:ind w:firstLine="480" w:firstLineChars="200"/>
        <w:jc w:val="left"/>
        <w:rPr>
          <w:sz w:val="24"/>
          <w:szCs w:val="21"/>
        </w:rPr>
      </w:pPr>
      <w:r>
        <w:rPr>
          <w:sz w:val="24"/>
          <w:szCs w:val="21"/>
        </w:rPr>
        <w:t>本次风险管理的评审目的是通过对产品在上市前各阶段风险管理活动进行总体评价，确保风险管理计划已经圆满地完成，并且通过对该产品的风险分析、风险评价和风险控制，以及综合剩余风险的可接受性评价，和对生产和生产后信息获得方法的评审，证实对产品的风险已进行了有效管理，并且控制在可接受范围内。</w:t>
      </w:r>
    </w:p>
    <w:p>
      <w:pPr>
        <w:pStyle w:val="58"/>
        <w:keepNext w:val="0"/>
        <w:numPr>
          <w:ilvl w:val="0"/>
          <w:numId w:val="5"/>
        </w:numPr>
        <w:topLinePunct/>
        <w:spacing w:before="0" w:after="0" w:line="360" w:lineRule="auto"/>
        <w:jc w:val="left"/>
        <w:outlineLvl w:val="0"/>
        <w:rPr>
          <w:rFonts w:ascii="Times New Roman" w:hAnsi="Times New Roman"/>
          <w:szCs w:val="32"/>
        </w:rPr>
      </w:pPr>
      <w:bookmarkStart w:id="17" w:name="_Toc407176764"/>
      <w:bookmarkStart w:id="18" w:name="_Toc78988832"/>
      <w:r>
        <w:rPr>
          <w:rFonts w:ascii="Times New Roman" w:hAnsi="Times New Roman"/>
          <w:szCs w:val="32"/>
        </w:rPr>
        <w:t>风险评审小组成员及其职责</w:t>
      </w:r>
      <w:bookmarkEnd w:id="17"/>
      <w:bookmarkEnd w:id="18"/>
    </w:p>
    <w:p>
      <w:pPr>
        <w:ind w:right="-11" w:firstLine="480" w:firstLineChars="200"/>
        <w:jc w:val="center"/>
        <w:rPr>
          <w:sz w:val="24"/>
        </w:rPr>
      </w:pPr>
      <w:r>
        <w:rPr>
          <w:sz w:val="24"/>
          <w:szCs w:val="32"/>
        </w:rPr>
        <w:t>表1. 风险评审小组成员及其职责</w:t>
      </w:r>
    </w:p>
    <w:tbl>
      <w:tblPr>
        <w:tblStyle w:val="36"/>
        <w:tblW w:w="7979"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7"/>
        <w:gridCol w:w="1482"/>
        <w:gridCol w:w="50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7" w:type="dxa"/>
            <w:shd w:val="clear" w:color="auto" w:fill="C0C0C0"/>
          </w:tcPr>
          <w:p>
            <w:pPr>
              <w:ind w:right="-14" w:rightChars="-7"/>
              <w:jc w:val="center"/>
              <w:rPr>
                <w:b/>
                <w:sz w:val="24"/>
              </w:rPr>
            </w:pPr>
            <w:r>
              <w:rPr>
                <w:b/>
                <w:sz w:val="24"/>
              </w:rPr>
              <w:t>评审人员</w:t>
            </w:r>
          </w:p>
        </w:tc>
        <w:tc>
          <w:tcPr>
            <w:tcW w:w="1482" w:type="dxa"/>
            <w:shd w:val="clear" w:color="auto" w:fill="C0C0C0"/>
          </w:tcPr>
          <w:p>
            <w:pPr>
              <w:ind w:right="-14" w:rightChars="-7"/>
              <w:jc w:val="center"/>
              <w:rPr>
                <w:b/>
                <w:sz w:val="24"/>
              </w:rPr>
            </w:pPr>
            <w:r>
              <w:rPr>
                <w:b/>
                <w:sz w:val="24"/>
              </w:rPr>
              <w:t>部门</w:t>
            </w:r>
          </w:p>
        </w:tc>
        <w:tc>
          <w:tcPr>
            <w:tcW w:w="5070" w:type="dxa"/>
            <w:shd w:val="clear" w:color="auto" w:fill="C0C0C0"/>
          </w:tcPr>
          <w:p>
            <w:pPr>
              <w:ind w:right="-14" w:rightChars="-7"/>
              <w:jc w:val="center"/>
              <w:rPr>
                <w:b/>
                <w:sz w:val="24"/>
              </w:rPr>
            </w:pPr>
            <w:r>
              <w:rPr>
                <w:b/>
                <w:sz w:val="24"/>
              </w:rPr>
              <w:t>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7" w:type="dxa"/>
            <w:vAlign w:val="center"/>
          </w:tcPr>
          <w:p>
            <w:pPr>
              <w:spacing w:line="360" w:lineRule="auto"/>
              <w:jc w:val="center"/>
              <w:rPr>
                <w:color w:val="FF0000"/>
                <w:sz w:val="24"/>
                <w:szCs w:val="21"/>
              </w:rPr>
            </w:pPr>
            <w:r>
              <w:rPr>
                <w:rFonts w:hint="eastAsia"/>
                <w:color w:val="000000" w:themeColor="text1"/>
                <w:sz w:val="24"/>
                <w:szCs w:val="21"/>
                <w14:textFill>
                  <w14:solidFill>
                    <w14:schemeClr w14:val="tx1"/>
                  </w14:solidFill>
                </w14:textFill>
              </w:rPr>
              <w:t>庞海</w:t>
            </w:r>
          </w:p>
        </w:tc>
        <w:tc>
          <w:tcPr>
            <w:tcW w:w="1482" w:type="dxa"/>
            <w:vAlign w:val="center"/>
          </w:tcPr>
          <w:p>
            <w:pPr>
              <w:jc w:val="center"/>
              <w:rPr>
                <w:sz w:val="24"/>
                <w:szCs w:val="21"/>
              </w:rPr>
            </w:pPr>
            <w:r>
              <w:rPr>
                <w:sz w:val="24"/>
                <w:szCs w:val="21"/>
              </w:rPr>
              <w:t>总经理</w:t>
            </w:r>
          </w:p>
        </w:tc>
        <w:tc>
          <w:tcPr>
            <w:tcW w:w="5070" w:type="dxa"/>
            <w:vAlign w:val="center"/>
          </w:tcPr>
          <w:p>
            <w:pPr>
              <w:rPr>
                <w:sz w:val="24"/>
                <w:szCs w:val="21"/>
              </w:rPr>
            </w:pPr>
            <w:r>
              <w:rPr>
                <w:sz w:val="24"/>
                <w:szCs w:val="21"/>
              </w:rPr>
              <w:t>对风险管理的实施负责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7" w:type="dxa"/>
            <w:vAlign w:val="center"/>
          </w:tcPr>
          <w:p>
            <w:pPr>
              <w:spacing w:line="360" w:lineRule="auto"/>
              <w:jc w:val="center"/>
              <w:rPr>
                <w:color w:val="FF0000"/>
                <w:sz w:val="24"/>
                <w:szCs w:val="21"/>
              </w:rPr>
            </w:pPr>
            <w:r>
              <w:rPr>
                <w:rFonts w:hint="eastAsia"/>
                <w:color w:val="000000" w:themeColor="text1"/>
                <w:sz w:val="24"/>
                <w:szCs w:val="21"/>
                <w14:textFill>
                  <w14:solidFill>
                    <w14:schemeClr w14:val="tx1"/>
                  </w14:solidFill>
                </w14:textFill>
              </w:rPr>
              <w:t>刘克省</w:t>
            </w:r>
          </w:p>
        </w:tc>
        <w:tc>
          <w:tcPr>
            <w:tcW w:w="1482" w:type="dxa"/>
            <w:vAlign w:val="center"/>
          </w:tcPr>
          <w:p>
            <w:pPr>
              <w:jc w:val="center"/>
              <w:rPr>
                <w:sz w:val="24"/>
                <w:szCs w:val="21"/>
              </w:rPr>
            </w:pPr>
            <w:r>
              <w:rPr>
                <w:rFonts w:hint="eastAsia"/>
                <w:sz w:val="24"/>
                <w:szCs w:val="21"/>
              </w:rPr>
              <w:t>技术部</w:t>
            </w:r>
          </w:p>
        </w:tc>
        <w:tc>
          <w:tcPr>
            <w:tcW w:w="5070" w:type="dxa"/>
            <w:vAlign w:val="center"/>
          </w:tcPr>
          <w:p>
            <w:pPr>
              <w:rPr>
                <w:sz w:val="24"/>
                <w:szCs w:val="21"/>
              </w:rPr>
            </w:pPr>
            <w:r>
              <w:rPr>
                <w:sz w:val="24"/>
                <w:szCs w:val="21"/>
              </w:rPr>
              <w:t>从设计开发角度估计风险的发生概率和严重程度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7" w:type="dxa"/>
            <w:vAlign w:val="center"/>
          </w:tcPr>
          <w:p>
            <w:pPr>
              <w:spacing w:line="360" w:lineRule="auto"/>
              <w:jc w:val="center"/>
              <w:rPr>
                <w:color w:val="FF0000"/>
                <w:sz w:val="24"/>
                <w:szCs w:val="21"/>
              </w:rPr>
            </w:pPr>
            <w:r>
              <w:rPr>
                <w:rFonts w:hint="eastAsia"/>
                <w:color w:val="000000" w:themeColor="text1"/>
                <w:sz w:val="24"/>
                <w:szCs w:val="21"/>
                <w14:textFill>
                  <w14:solidFill>
                    <w14:schemeClr w14:val="tx1"/>
                  </w14:solidFill>
                </w14:textFill>
              </w:rPr>
              <w:t>段奶荣</w:t>
            </w:r>
          </w:p>
        </w:tc>
        <w:tc>
          <w:tcPr>
            <w:tcW w:w="1482" w:type="dxa"/>
            <w:vAlign w:val="center"/>
          </w:tcPr>
          <w:p>
            <w:pPr>
              <w:jc w:val="center"/>
              <w:rPr>
                <w:sz w:val="24"/>
                <w:szCs w:val="21"/>
              </w:rPr>
            </w:pPr>
            <w:r>
              <w:rPr>
                <w:rFonts w:hint="eastAsia"/>
                <w:sz w:val="24"/>
                <w:szCs w:val="21"/>
              </w:rPr>
              <w:t>质量</w:t>
            </w:r>
            <w:r>
              <w:rPr>
                <w:sz w:val="24"/>
                <w:szCs w:val="21"/>
              </w:rPr>
              <w:t>部</w:t>
            </w:r>
          </w:p>
        </w:tc>
        <w:tc>
          <w:tcPr>
            <w:tcW w:w="5070" w:type="dxa"/>
            <w:vAlign w:val="center"/>
          </w:tcPr>
          <w:p>
            <w:pPr>
              <w:rPr>
                <w:sz w:val="24"/>
                <w:szCs w:val="21"/>
              </w:rPr>
            </w:pPr>
            <w:r>
              <w:rPr>
                <w:sz w:val="24"/>
                <w:szCs w:val="21"/>
              </w:rPr>
              <w:t>从检验角度估计风险的发生概率和严重程度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7" w:type="dxa"/>
            <w:vAlign w:val="center"/>
          </w:tcPr>
          <w:p>
            <w:pPr>
              <w:spacing w:line="360" w:lineRule="auto"/>
              <w:jc w:val="center"/>
              <w:rPr>
                <w:color w:val="FF0000"/>
                <w:sz w:val="24"/>
                <w:szCs w:val="21"/>
              </w:rPr>
            </w:pPr>
            <w:r>
              <w:rPr>
                <w:rFonts w:hint="eastAsia"/>
                <w:color w:val="000000" w:themeColor="text1"/>
                <w:sz w:val="24"/>
                <w:szCs w:val="21"/>
                <w14:textFill>
                  <w14:solidFill>
                    <w14:schemeClr w14:val="tx1"/>
                  </w14:solidFill>
                </w14:textFill>
              </w:rPr>
              <w:t>赵晓鹏</w:t>
            </w:r>
          </w:p>
        </w:tc>
        <w:tc>
          <w:tcPr>
            <w:tcW w:w="1482" w:type="dxa"/>
            <w:vAlign w:val="center"/>
          </w:tcPr>
          <w:p>
            <w:pPr>
              <w:jc w:val="center"/>
              <w:rPr>
                <w:sz w:val="24"/>
                <w:szCs w:val="21"/>
              </w:rPr>
            </w:pPr>
            <w:r>
              <w:rPr>
                <w:rFonts w:hint="eastAsia"/>
                <w:sz w:val="24"/>
                <w:szCs w:val="21"/>
              </w:rPr>
              <w:t>销售</w:t>
            </w:r>
            <w:r>
              <w:rPr>
                <w:sz w:val="24"/>
                <w:szCs w:val="21"/>
              </w:rPr>
              <w:t>部</w:t>
            </w:r>
          </w:p>
        </w:tc>
        <w:tc>
          <w:tcPr>
            <w:tcW w:w="5070" w:type="dxa"/>
            <w:vAlign w:val="center"/>
          </w:tcPr>
          <w:p>
            <w:pPr>
              <w:rPr>
                <w:sz w:val="24"/>
                <w:szCs w:val="21"/>
              </w:rPr>
            </w:pPr>
            <w:r>
              <w:rPr>
                <w:sz w:val="24"/>
                <w:szCs w:val="21"/>
              </w:rPr>
              <w:t>从运输、使用角度估计风险的发生概率和严重程度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7" w:type="dxa"/>
            <w:vAlign w:val="center"/>
          </w:tcPr>
          <w:p>
            <w:pPr>
              <w:spacing w:line="360" w:lineRule="auto"/>
              <w:jc w:val="center"/>
              <w:rPr>
                <w:color w:val="FF0000"/>
                <w:sz w:val="24"/>
                <w:szCs w:val="21"/>
              </w:rPr>
            </w:pPr>
            <w:r>
              <w:rPr>
                <w:rFonts w:hint="eastAsia"/>
                <w:color w:val="000000" w:themeColor="text1"/>
                <w:sz w:val="24"/>
                <w:szCs w:val="21"/>
                <w14:textFill>
                  <w14:solidFill>
                    <w14:schemeClr w14:val="tx1"/>
                  </w14:solidFill>
                </w14:textFill>
              </w:rPr>
              <w:t>陈富</w:t>
            </w:r>
          </w:p>
        </w:tc>
        <w:tc>
          <w:tcPr>
            <w:tcW w:w="1482" w:type="dxa"/>
            <w:vAlign w:val="center"/>
          </w:tcPr>
          <w:p>
            <w:pPr>
              <w:jc w:val="center"/>
              <w:rPr>
                <w:sz w:val="24"/>
                <w:szCs w:val="21"/>
              </w:rPr>
            </w:pPr>
            <w:r>
              <w:rPr>
                <w:rFonts w:hint="eastAsia"/>
                <w:sz w:val="24"/>
                <w:szCs w:val="21"/>
              </w:rPr>
              <w:t>质量</w:t>
            </w:r>
            <w:r>
              <w:rPr>
                <w:sz w:val="24"/>
                <w:szCs w:val="21"/>
              </w:rPr>
              <w:t>部</w:t>
            </w:r>
          </w:p>
        </w:tc>
        <w:tc>
          <w:tcPr>
            <w:tcW w:w="5070" w:type="dxa"/>
            <w:vAlign w:val="center"/>
          </w:tcPr>
          <w:p>
            <w:pPr>
              <w:rPr>
                <w:sz w:val="24"/>
                <w:szCs w:val="21"/>
              </w:rPr>
            </w:pPr>
            <w:r>
              <w:rPr>
                <w:sz w:val="24"/>
                <w:szCs w:val="21"/>
              </w:rPr>
              <w:t>从临床角度估计风险概率和严重程度</w:t>
            </w:r>
          </w:p>
        </w:tc>
      </w:tr>
    </w:tbl>
    <w:p>
      <w:pPr>
        <w:pStyle w:val="58"/>
        <w:keepNext w:val="0"/>
        <w:numPr>
          <w:ilvl w:val="0"/>
          <w:numId w:val="5"/>
        </w:numPr>
        <w:topLinePunct/>
        <w:spacing w:before="0" w:after="0" w:line="360" w:lineRule="auto"/>
        <w:jc w:val="left"/>
        <w:outlineLvl w:val="0"/>
        <w:rPr>
          <w:rFonts w:ascii="Times New Roman" w:hAnsi="Times New Roman"/>
          <w:szCs w:val="32"/>
        </w:rPr>
      </w:pPr>
      <w:bookmarkStart w:id="19" w:name="_Toc78988833"/>
      <w:bookmarkStart w:id="20" w:name="_Toc407176765"/>
      <w:r>
        <w:rPr>
          <w:rFonts w:ascii="Times New Roman" w:hAnsi="Times New Roman"/>
          <w:szCs w:val="32"/>
        </w:rPr>
        <w:t>风险管理计划及实施情况简述</w:t>
      </w:r>
      <w:bookmarkEnd w:id="19"/>
      <w:bookmarkEnd w:id="20"/>
    </w:p>
    <w:p>
      <w:pPr>
        <w:topLinePunct/>
        <w:spacing w:line="360" w:lineRule="auto"/>
        <w:ind w:firstLine="480" w:firstLineChars="200"/>
        <w:jc w:val="left"/>
        <w:rPr>
          <w:sz w:val="24"/>
          <w:szCs w:val="21"/>
        </w:rPr>
      </w:pPr>
      <w:r>
        <w:rPr>
          <w:sz w:val="24"/>
          <w:szCs w:val="21"/>
        </w:rPr>
        <w:t>在产品立项的同时，针对该产品进行了风险管理活动的策划，制定了风险管理计划。该风险管理计划确定了的风险可接受准则，对产品生命周期的风险管理活动、风险管理活动有关人员的职责和权限以及生产和生产后信息的获得方法的评审要求进行了安排。</w:t>
      </w:r>
    </w:p>
    <w:p>
      <w:pPr>
        <w:topLinePunct/>
        <w:spacing w:line="360" w:lineRule="auto"/>
        <w:ind w:firstLine="480" w:firstLineChars="200"/>
        <w:jc w:val="left"/>
        <w:rPr>
          <w:sz w:val="24"/>
          <w:szCs w:val="21"/>
        </w:rPr>
      </w:pPr>
      <w:r>
        <w:rPr>
          <w:sz w:val="24"/>
          <w:szCs w:val="21"/>
        </w:rPr>
        <w:t>公司组成了风险管理小组，确定了该项目的风险管理负责人。确保该项目的风险管理活动按照风险管理计划有效的执行。</w:t>
      </w:r>
    </w:p>
    <w:p>
      <w:pPr>
        <w:pStyle w:val="58"/>
        <w:keepNext w:val="0"/>
        <w:numPr>
          <w:ilvl w:val="0"/>
          <w:numId w:val="5"/>
        </w:numPr>
        <w:topLinePunct/>
        <w:spacing w:before="0" w:after="0" w:line="360" w:lineRule="auto"/>
        <w:jc w:val="left"/>
        <w:outlineLvl w:val="0"/>
        <w:rPr>
          <w:rFonts w:ascii="Times New Roman" w:hAnsi="Times New Roman"/>
          <w:szCs w:val="32"/>
        </w:rPr>
      </w:pPr>
      <w:bookmarkStart w:id="21" w:name="_Toc78988834"/>
      <w:bookmarkStart w:id="22" w:name="_Toc407176766"/>
      <w:r>
        <w:rPr>
          <w:rFonts w:ascii="Times New Roman" w:hAnsi="Times New Roman"/>
          <w:szCs w:val="32"/>
        </w:rPr>
        <w:t>判断医疗器械与安全性有关的特征</w:t>
      </w:r>
      <w:bookmarkEnd w:id="21"/>
      <w:bookmarkEnd w:id="22"/>
    </w:p>
    <w:p>
      <w:pPr>
        <w:spacing w:line="360" w:lineRule="auto"/>
        <w:ind w:firstLine="480" w:firstLineChars="200"/>
        <w:rPr>
          <w:sz w:val="24"/>
        </w:rPr>
      </w:pPr>
      <w:r>
        <w:rPr>
          <w:sz w:val="24"/>
        </w:rPr>
        <w:t>基于</w:t>
      </w:r>
      <w:r>
        <w:rPr>
          <w:rFonts w:hint="eastAsia"/>
          <w:sz w:val="24"/>
        </w:rPr>
        <w:t>《GB/T 42062-2022 医疗器械 风险管理对医疗器械的应用》</w:t>
      </w:r>
      <w:r>
        <w:rPr>
          <w:sz w:val="24"/>
        </w:rPr>
        <w:t>附录C的问题，判定医疗器械与安全性有关的特征。</w:t>
      </w:r>
    </w:p>
    <w:p>
      <w:pPr>
        <w:ind w:firstLine="480" w:firstLineChars="200"/>
        <w:jc w:val="center"/>
        <w:rPr>
          <w:sz w:val="24"/>
        </w:rPr>
      </w:pPr>
      <w:r>
        <w:rPr>
          <w:sz w:val="24"/>
        </w:rPr>
        <w:t>表</w:t>
      </w:r>
      <w:r>
        <w:rPr>
          <w:rFonts w:hint="eastAsia"/>
          <w:sz w:val="24"/>
        </w:rPr>
        <w:t>2</w:t>
      </w:r>
      <w:r>
        <w:rPr>
          <w:sz w:val="24"/>
        </w:rPr>
        <w:t>. 医疗器械与安全性有关的特征表格</w:t>
      </w:r>
    </w:p>
    <w:tbl>
      <w:tblPr>
        <w:tblStyle w:val="3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846"/>
        <w:gridCol w:w="839"/>
        <w:gridCol w:w="2729"/>
        <w:gridCol w:w="11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blHeader/>
          <w:jc w:val="center"/>
        </w:trPr>
        <w:tc>
          <w:tcPr>
            <w:tcW w:w="2256" w:type="pct"/>
            <w:shd w:val="clear" w:color="auto" w:fill="C0C0C0"/>
          </w:tcPr>
          <w:p>
            <w:pPr>
              <w:jc w:val="center"/>
              <w:rPr>
                <w:rFonts w:cs="宋体"/>
                <w:sz w:val="24"/>
              </w:rPr>
            </w:pPr>
            <w:bookmarkStart w:id="23" w:name="_Toc407176767"/>
            <w:r>
              <w:rPr>
                <w:rFonts w:hint="eastAsia" w:cs="宋体"/>
                <w:sz w:val="24"/>
              </w:rPr>
              <w:t>问题</w:t>
            </w:r>
          </w:p>
        </w:tc>
        <w:tc>
          <w:tcPr>
            <w:tcW w:w="493" w:type="pct"/>
            <w:shd w:val="clear" w:color="auto" w:fill="C0C0C0"/>
          </w:tcPr>
          <w:p>
            <w:pPr>
              <w:jc w:val="center"/>
              <w:rPr>
                <w:rFonts w:cs="宋体"/>
                <w:sz w:val="24"/>
              </w:rPr>
            </w:pPr>
            <w:r>
              <w:rPr>
                <w:rFonts w:hint="eastAsia" w:cs="宋体"/>
                <w:sz w:val="24"/>
              </w:rPr>
              <w:t>适用与否</w:t>
            </w:r>
          </w:p>
        </w:tc>
        <w:tc>
          <w:tcPr>
            <w:tcW w:w="1601" w:type="pct"/>
            <w:shd w:val="clear" w:color="auto" w:fill="C0C0C0"/>
          </w:tcPr>
          <w:p>
            <w:pPr>
              <w:jc w:val="center"/>
              <w:rPr>
                <w:rFonts w:cs="宋体"/>
                <w:sz w:val="24"/>
              </w:rPr>
            </w:pPr>
            <w:r>
              <w:rPr>
                <w:rFonts w:hint="eastAsia" w:cs="宋体"/>
                <w:sz w:val="24"/>
              </w:rPr>
              <w:t>特征判定</w:t>
            </w:r>
          </w:p>
        </w:tc>
        <w:tc>
          <w:tcPr>
            <w:tcW w:w="648" w:type="pct"/>
            <w:shd w:val="clear" w:color="auto" w:fill="C0C0C0"/>
          </w:tcPr>
          <w:p>
            <w:pPr>
              <w:jc w:val="center"/>
              <w:rPr>
                <w:rFonts w:cs="宋体"/>
                <w:sz w:val="24"/>
              </w:rPr>
            </w:pPr>
            <w:r>
              <w:rPr>
                <w:sz w:val="24"/>
              </w:rPr>
              <w:t>可能的危害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2256" w:type="pct"/>
          </w:tcPr>
          <w:p>
            <w:pPr>
              <w:rPr>
                <w:rFonts w:cs="宋体"/>
                <w:sz w:val="24"/>
              </w:rPr>
            </w:pPr>
            <w:r>
              <w:rPr>
                <w:rFonts w:hint="eastAsia" w:cs="宋体"/>
                <w:sz w:val="24"/>
              </w:rPr>
              <w:t>C.2.1医疗器械的预期用途是什么和怎样使用医疗器械？</w:t>
            </w:r>
          </w:p>
          <w:p>
            <w:pPr>
              <w:rPr>
                <w:rFonts w:cs="宋体"/>
                <w:sz w:val="24"/>
              </w:rPr>
            </w:pPr>
            <w:r>
              <w:rPr>
                <w:rFonts w:hint="eastAsia" w:cs="宋体"/>
                <w:sz w:val="24"/>
              </w:rPr>
              <w:t>宜考虑的因素包括：</w:t>
            </w:r>
          </w:p>
          <w:p>
            <w:pPr>
              <w:rPr>
                <w:rFonts w:cs="宋体"/>
                <w:sz w:val="24"/>
              </w:rPr>
            </w:pPr>
            <w:r>
              <w:rPr>
                <w:rFonts w:hint="eastAsia" w:cs="宋体"/>
                <w:sz w:val="24"/>
              </w:rPr>
              <w:t>—医疗器械的作用是与下列哪一项有关？</w:t>
            </w:r>
          </w:p>
          <w:p>
            <w:pPr>
              <w:rPr>
                <w:rFonts w:cs="宋体"/>
                <w:sz w:val="24"/>
              </w:rPr>
            </w:pPr>
            <w:r>
              <w:rPr>
                <w:rFonts w:hint="eastAsia" w:cs="宋体"/>
                <w:sz w:val="24"/>
              </w:rPr>
              <w:t>——对疾病的诊断、预防、监护、治疗或缓解，</w:t>
            </w:r>
          </w:p>
          <w:p>
            <w:pPr>
              <w:rPr>
                <w:rFonts w:cs="宋体"/>
                <w:sz w:val="24"/>
              </w:rPr>
            </w:pPr>
            <w:r>
              <w:rPr>
                <w:rFonts w:hint="eastAsia" w:cs="宋体"/>
                <w:sz w:val="24"/>
              </w:rPr>
              <w:t>——或对损伤或残疾的补偿，或</w:t>
            </w:r>
          </w:p>
          <w:p>
            <w:pPr>
              <w:rPr>
                <w:rFonts w:cs="宋体"/>
                <w:sz w:val="24"/>
              </w:rPr>
            </w:pPr>
            <w:r>
              <w:rPr>
                <w:rFonts w:hint="eastAsia" w:cs="宋体"/>
                <w:sz w:val="24"/>
              </w:rPr>
              <w:t>——生理结构的替代或改进，或妊娠控制？</w:t>
            </w:r>
          </w:p>
          <w:p>
            <w:pPr>
              <w:rPr>
                <w:rFonts w:cs="宋体"/>
                <w:sz w:val="24"/>
              </w:rPr>
            </w:pPr>
            <w:r>
              <w:rPr>
                <w:rFonts w:hint="eastAsia" w:cs="宋体"/>
                <w:sz w:val="24"/>
              </w:rPr>
              <w:t>—使用的适应症是什么（如患者群体）？</w:t>
            </w:r>
          </w:p>
          <w:p>
            <w:pPr>
              <w:rPr>
                <w:rFonts w:cs="宋体"/>
                <w:sz w:val="24"/>
              </w:rPr>
            </w:pPr>
            <w:r>
              <w:rPr>
                <w:rFonts w:hint="eastAsia" w:cs="宋体"/>
                <w:sz w:val="24"/>
              </w:rPr>
              <w:t>—医疗器械是否用于生命维持或生命支持？</w:t>
            </w:r>
          </w:p>
          <w:p>
            <w:pPr>
              <w:rPr>
                <w:rFonts w:cs="宋体"/>
                <w:sz w:val="24"/>
              </w:rPr>
            </w:pPr>
            <w:r>
              <w:rPr>
                <w:rFonts w:hint="eastAsia" w:cs="宋体"/>
                <w:sz w:val="24"/>
              </w:rPr>
              <w:t>—在医疗器械失效的情况下是否需要特殊的干预？</w:t>
            </w:r>
          </w:p>
        </w:tc>
        <w:tc>
          <w:tcPr>
            <w:tcW w:w="493" w:type="pct"/>
          </w:tcPr>
          <w:p>
            <w:pPr>
              <w:pStyle w:val="43"/>
              <w:ind w:firstLine="0" w:firstLineChars="0"/>
              <w:rPr>
                <w:rFonts w:ascii="Times New Roman" w:hAnsi="Times New Roman" w:cs="宋体"/>
                <w:sz w:val="24"/>
                <w:szCs w:val="24"/>
              </w:rPr>
            </w:pPr>
            <w:r>
              <w:rPr>
                <w:rFonts w:hint="eastAsia" w:ascii="Times New Roman" w:hAnsi="Times New Roman" w:cs="宋体"/>
                <w:sz w:val="24"/>
                <w:szCs w:val="24"/>
              </w:rPr>
              <w:t>是</w:t>
            </w:r>
          </w:p>
        </w:tc>
        <w:tc>
          <w:tcPr>
            <w:tcW w:w="1601" w:type="pct"/>
          </w:tcPr>
          <w:p>
            <w:pPr>
              <w:rPr>
                <w:rFonts w:cs="宋体"/>
                <w:sz w:val="24"/>
              </w:rPr>
            </w:pPr>
            <w:r>
              <w:rPr>
                <w:rFonts w:hint="eastAsia" w:cs="宋体"/>
                <w:sz w:val="24"/>
              </w:rPr>
              <w:t>对儿童手部X射线影像进行曝光、放大、翻转；辅助医生进行骨龄评价，辅助判断是否存在生长障碍疾病的存在。</w:t>
            </w:r>
          </w:p>
          <w:p>
            <w:pPr>
              <w:rPr>
                <w:rFonts w:cs="宋体"/>
                <w:sz w:val="24"/>
              </w:rPr>
            </w:pPr>
            <w:r>
              <w:rPr>
                <w:rFonts w:hint="eastAsia" w:cs="宋体"/>
                <w:sz w:val="24"/>
              </w:rPr>
              <w:t>使用方法详见使用说明书</w:t>
            </w:r>
          </w:p>
        </w:tc>
        <w:tc>
          <w:tcPr>
            <w:tcW w:w="648" w:type="pct"/>
          </w:tcPr>
          <w:p>
            <w:pPr>
              <w:rPr>
                <w:rFonts w:cs="宋体"/>
                <w:sz w:val="24"/>
              </w:rPr>
            </w:pPr>
            <w:r>
              <w:rPr>
                <w:rFonts w:cs="宋体"/>
                <w:sz w:val="24"/>
                <w:szCs w:val="20"/>
              </w:rPr>
              <w:t>信息危害（</w:t>
            </w:r>
            <w:r>
              <w:rPr>
                <w:sz w:val="24"/>
                <w:szCs w:val="20"/>
              </w:rPr>
              <w:t>H1</w:t>
            </w:r>
            <w:r>
              <w:rPr>
                <w:rFonts w:cs="宋体"/>
                <w:sz w:val="24"/>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2256" w:type="pct"/>
          </w:tcPr>
          <w:p>
            <w:pPr>
              <w:rPr>
                <w:rFonts w:cs="宋体"/>
                <w:sz w:val="24"/>
              </w:rPr>
            </w:pPr>
            <w:r>
              <w:rPr>
                <w:rFonts w:hint="eastAsia" w:cs="宋体"/>
                <w:sz w:val="24"/>
              </w:rPr>
              <w:t>C.2.2 医疗器械是否预期植入？</w:t>
            </w:r>
          </w:p>
          <w:p>
            <w:pPr>
              <w:rPr>
                <w:rFonts w:cs="宋体"/>
                <w:sz w:val="24"/>
              </w:rPr>
            </w:pPr>
            <w:r>
              <w:rPr>
                <w:rFonts w:hint="eastAsia" w:cs="宋体"/>
                <w:sz w:val="24"/>
              </w:rPr>
              <w:t>宜考虑的因素包括植入的位置、患者群体特征、年龄、体重、身体活动情况、植入物性能老化的影响、植入物预期的寿命和植入的可逆性。</w:t>
            </w:r>
          </w:p>
        </w:tc>
        <w:tc>
          <w:tcPr>
            <w:tcW w:w="493" w:type="pct"/>
          </w:tcPr>
          <w:p>
            <w:pPr>
              <w:rPr>
                <w:rFonts w:cs="宋体"/>
                <w:sz w:val="24"/>
              </w:rPr>
            </w:pPr>
            <w:r>
              <w:rPr>
                <w:rFonts w:hint="eastAsia" w:cs="宋体"/>
                <w:sz w:val="24"/>
              </w:rPr>
              <w:t>否</w:t>
            </w:r>
          </w:p>
        </w:tc>
        <w:tc>
          <w:tcPr>
            <w:tcW w:w="1601" w:type="pct"/>
          </w:tcPr>
          <w:p>
            <w:pPr>
              <w:rPr>
                <w:rFonts w:cs="宋体"/>
                <w:sz w:val="24"/>
              </w:rPr>
            </w:pPr>
            <w:r>
              <w:rPr>
                <w:rFonts w:hint="eastAsia" w:cs="宋体"/>
                <w:sz w:val="24"/>
              </w:rPr>
              <w:t>/</w:t>
            </w:r>
          </w:p>
        </w:tc>
        <w:tc>
          <w:tcPr>
            <w:tcW w:w="648" w:type="pct"/>
          </w:tcPr>
          <w:p>
            <w:pPr>
              <w:rPr>
                <w:rFonts w:cs="宋体"/>
                <w:sz w:val="24"/>
              </w:rPr>
            </w:pPr>
            <w:r>
              <w:rPr>
                <w:rFonts w:hint="eastAsia" w:cs="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2256" w:type="pct"/>
          </w:tcPr>
          <w:p>
            <w:pPr>
              <w:rPr>
                <w:rFonts w:cs="宋体"/>
                <w:sz w:val="24"/>
              </w:rPr>
            </w:pPr>
            <w:r>
              <w:rPr>
                <w:rFonts w:hint="eastAsia" w:cs="宋体"/>
                <w:sz w:val="24"/>
              </w:rPr>
              <w:t>C.2.3  医疗器械是否预期和患者或其他人员接触?</w:t>
            </w:r>
          </w:p>
          <w:p>
            <w:pPr>
              <w:rPr>
                <w:rFonts w:cs="宋体"/>
                <w:sz w:val="24"/>
              </w:rPr>
            </w:pPr>
            <w:r>
              <w:rPr>
                <w:rFonts w:hint="eastAsia" w:cs="宋体"/>
                <w:sz w:val="24"/>
              </w:rPr>
              <w:t>宜考虑的因素包括预期接触的性质,即表面接触、侵入式接触或植入以及每种接触的时间长短和频次。</w:t>
            </w:r>
          </w:p>
        </w:tc>
        <w:tc>
          <w:tcPr>
            <w:tcW w:w="493" w:type="pct"/>
          </w:tcPr>
          <w:p>
            <w:pPr>
              <w:rPr>
                <w:rFonts w:cs="宋体"/>
                <w:sz w:val="24"/>
              </w:rPr>
            </w:pPr>
            <w:r>
              <w:rPr>
                <w:rFonts w:hint="eastAsia" w:cs="宋体"/>
                <w:sz w:val="24"/>
              </w:rPr>
              <w:t>否</w:t>
            </w:r>
          </w:p>
        </w:tc>
        <w:tc>
          <w:tcPr>
            <w:tcW w:w="1601" w:type="pct"/>
          </w:tcPr>
          <w:p>
            <w:pPr>
              <w:rPr>
                <w:rFonts w:cs="宋体"/>
                <w:sz w:val="24"/>
              </w:rPr>
            </w:pPr>
            <w:r>
              <w:rPr>
                <w:rFonts w:hint="eastAsia" w:cs="宋体"/>
                <w:sz w:val="24"/>
              </w:rPr>
              <w:t>/</w:t>
            </w:r>
          </w:p>
        </w:tc>
        <w:tc>
          <w:tcPr>
            <w:tcW w:w="648" w:type="pct"/>
          </w:tcPr>
          <w:p>
            <w:pPr>
              <w:rPr>
                <w:rFonts w:cs="宋体"/>
                <w:sz w:val="24"/>
              </w:rPr>
            </w:pPr>
            <w:r>
              <w:rPr>
                <w:rFonts w:hint="eastAsia" w:cs="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2256" w:type="pct"/>
          </w:tcPr>
          <w:p>
            <w:pPr>
              <w:rPr>
                <w:rFonts w:cs="宋体"/>
                <w:sz w:val="24"/>
              </w:rPr>
            </w:pPr>
            <w:r>
              <w:rPr>
                <w:rFonts w:hint="eastAsia" w:cs="宋体"/>
                <w:sz w:val="24"/>
              </w:rPr>
              <w:t>C.2.4 在医疗器械中利用何种材料或组分,或与医疗器械共同使用或与其接触?</w:t>
            </w:r>
          </w:p>
          <w:p>
            <w:pPr>
              <w:ind w:left="120" w:hanging="120" w:hangingChars="50"/>
              <w:rPr>
                <w:rFonts w:cs="宋体"/>
                <w:sz w:val="24"/>
              </w:rPr>
            </w:pPr>
            <w:r>
              <w:rPr>
                <w:rFonts w:hint="eastAsia" w:cs="宋体"/>
                <w:sz w:val="24"/>
              </w:rPr>
              <w:t>宜考虑的因素包括：</w:t>
            </w:r>
          </w:p>
          <w:p>
            <w:pPr>
              <w:ind w:left="120" w:hanging="120" w:hangingChars="50"/>
              <w:rPr>
                <w:rFonts w:cs="宋体"/>
                <w:sz w:val="24"/>
              </w:rPr>
            </w:pPr>
            <w:r>
              <w:rPr>
                <w:rFonts w:hint="eastAsia" w:cs="宋体"/>
                <w:sz w:val="24"/>
              </w:rPr>
              <w:t>—和有关物质的相容性；</w:t>
            </w:r>
          </w:p>
          <w:p>
            <w:pPr>
              <w:ind w:left="120" w:hanging="120" w:hangingChars="50"/>
              <w:rPr>
                <w:rFonts w:cs="宋体"/>
                <w:sz w:val="24"/>
              </w:rPr>
            </w:pPr>
            <w:r>
              <w:rPr>
                <w:rFonts w:hint="eastAsia" w:cs="宋体"/>
                <w:sz w:val="24"/>
              </w:rPr>
              <w:t>—与组织或体液的相容性；</w:t>
            </w:r>
          </w:p>
          <w:p>
            <w:pPr>
              <w:rPr>
                <w:rFonts w:cs="宋体"/>
                <w:sz w:val="24"/>
              </w:rPr>
            </w:pPr>
            <w:r>
              <w:rPr>
                <w:rFonts w:hint="eastAsia" w:cs="宋体"/>
                <w:sz w:val="24"/>
              </w:rPr>
              <w:t>—与安全性有关的特征是否已知；</w:t>
            </w:r>
          </w:p>
          <w:p>
            <w:pPr>
              <w:rPr>
                <w:rFonts w:cs="宋体"/>
                <w:sz w:val="24"/>
              </w:rPr>
            </w:pPr>
            <w:r>
              <w:rPr>
                <w:rFonts w:hint="eastAsia" w:cs="宋体"/>
                <w:sz w:val="24"/>
              </w:rPr>
              <w:t>—医疗器械的制造是否利用了动物源材料？</w:t>
            </w:r>
          </w:p>
        </w:tc>
        <w:tc>
          <w:tcPr>
            <w:tcW w:w="493" w:type="pct"/>
          </w:tcPr>
          <w:p>
            <w:pPr>
              <w:rPr>
                <w:rFonts w:cs="宋体"/>
                <w:sz w:val="24"/>
              </w:rPr>
            </w:pPr>
            <w:r>
              <w:rPr>
                <w:rFonts w:hint="eastAsia" w:cs="宋体"/>
                <w:sz w:val="24"/>
              </w:rPr>
              <w:t>否</w:t>
            </w:r>
          </w:p>
        </w:tc>
        <w:tc>
          <w:tcPr>
            <w:tcW w:w="1601" w:type="pct"/>
          </w:tcPr>
          <w:p>
            <w:pPr>
              <w:rPr>
                <w:rFonts w:cs="宋体"/>
                <w:sz w:val="24"/>
              </w:rPr>
            </w:pPr>
            <w:r>
              <w:rPr>
                <w:rFonts w:hint="eastAsia" w:cs="宋体"/>
                <w:sz w:val="24"/>
              </w:rPr>
              <w:t>/</w:t>
            </w:r>
          </w:p>
        </w:tc>
        <w:tc>
          <w:tcPr>
            <w:tcW w:w="648" w:type="pct"/>
          </w:tcPr>
          <w:p>
            <w:pPr>
              <w:rPr>
                <w:rFonts w:cs="宋体"/>
                <w:sz w:val="24"/>
              </w:rPr>
            </w:pPr>
            <w:r>
              <w:rPr>
                <w:rFonts w:hint="eastAsia" w:cs="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2256" w:type="pct"/>
          </w:tcPr>
          <w:p>
            <w:pPr>
              <w:rPr>
                <w:rFonts w:cs="宋体"/>
                <w:sz w:val="24"/>
              </w:rPr>
            </w:pPr>
            <w:r>
              <w:rPr>
                <w:rFonts w:hint="eastAsia" w:cs="宋体"/>
                <w:sz w:val="24"/>
              </w:rPr>
              <w:t>C.2.5 是否有能量给予患者或从患者身上获取?</w:t>
            </w:r>
          </w:p>
          <w:p>
            <w:pPr>
              <w:rPr>
                <w:rFonts w:cs="宋体"/>
                <w:sz w:val="24"/>
              </w:rPr>
            </w:pPr>
            <w:r>
              <w:rPr>
                <w:rFonts w:hint="eastAsia" w:cs="宋体"/>
                <w:sz w:val="24"/>
              </w:rPr>
              <w:t>宜考虑的因素包括：</w:t>
            </w:r>
          </w:p>
          <w:p>
            <w:pPr>
              <w:rPr>
                <w:rFonts w:cs="宋体"/>
                <w:sz w:val="24"/>
              </w:rPr>
            </w:pPr>
            <w:r>
              <w:rPr>
                <w:rFonts w:hint="eastAsia" w:cs="宋体"/>
                <w:sz w:val="24"/>
              </w:rPr>
              <w:t>—传递的能量类型；</w:t>
            </w:r>
          </w:p>
          <w:p>
            <w:pPr>
              <w:rPr>
                <w:rFonts w:cs="宋体"/>
                <w:sz w:val="24"/>
              </w:rPr>
            </w:pPr>
            <w:r>
              <w:rPr>
                <w:rFonts w:hint="eastAsia" w:cs="宋体"/>
                <w:sz w:val="24"/>
              </w:rPr>
              <w:t>—对其控制、质量、数量、强度和持续时间；</w:t>
            </w:r>
          </w:p>
          <w:p>
            <w:pPr>
              <w:rPr>
                <w:rFonts w:cs="宋体"/>
                <w:sz w:val="24"/>
              </w:rPr>
            </w:pPr>
            <w:r>
              <w:rPr>
                <w:rFonts w:hint="eastAsia" w:cs="宋体"/>
                <w:sz w:val="24"/>
              </w:rPr>
              <w:t>—能量水平是否高于类似器械当前应用的能量水平。</w:t>
            </w:r>
          </w:p>
        </w:tc>
        <w:tc>
          <w:tcPr>
            <w:tcW w:w="493" w:type="pct"/>
          </w:tcPr>
          <w:p>
            <w:pPr>
              <w:rPr>
                <w:rFonts w:cs="宋体"/>
                <w:sz w:val="24"/>
              </w:rPr>
            </w:pPr>
            <w:r>
              <w:rPr>
                <w:rFonts w:hint="eastAsia" w:cs="宋体"/>
                <w:sz w:val="24"/>
              </w:rPr>
              <w:t>否</w:t>
            </w:r>
          </w:p>
        </w:tc>
        <w:tc>
          <w:tcPr>
            <w:tcW w:w="1601" w:type="pct"/>
          </w:tcPr>
          <w:p>
            <w:pPr>
              <w:rPr>
                <w:rFonts w:cs="宋体"/>
                <w:sz w:val="24"/>
              </w:rPr>
            </w:pPr>
            <w:r>
              <w:rPr>
                <w:rFonts w:hint="eastAsia" w:cs="宋体"/>
                <w:sz w:val="24"/>
              </w:rPr>
              <w:t>/</w:t>
            </w:r>
          </w:p>
        </w:tc>
        <w:tc>
          <w:tcPr>
            <w:tcW w:w="648" w:type="pct"/>
          </w:tcPr>
          <w:p>
            <w:pPr>
              <w:rPr>
                <w:rFonts w:cs="宋体"/>
                <w:sz w:val="24"/>
              </w:rPr>
            </w:pPr>
            <w:r>
              <w:rPr>
                <w:rFonts w:hint="eastAsia" w:cs="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2256" w:type="pct"/>
          </w:tcPr>
          <w:p>
            <w:pPr>
              <w:rPr>
                <w:rFonts w:cs="宋体"/>
                <w:sz w:val="24"/>
              </w:rPr>
            </w:pPr>
            <w:r>
              <w:rPr>
                <w:rFonts w:hint="eastAsia" w:cs="宋体"/>
                <w:sz w:val="24"/>
              </w:rPr>
              <w:t>C.2.6 是否有物质提供给患者或从患者身上提取?</w:t>
            </w:r>
          </w:p>
          <w:p>
            <w:pPr>
              <w:rPr>
                <w:rFonts w:cs="宋体"/>
                <w:sz w:val="24"/>
              </w:rPr>
            </w:pPr>
            <w:r>
              <w:rPr>
                <w:rFonts w:hint="eastAsia" w:cs="宋体"/>
                <w:sz w:val="24"/>
              </w:rPr>
              <w:t>宜考虑的因素包括：</w:t>
            </w:r>
          </w:p>
          <w:p>
            <w:pPr>
              <w:rPr>
                <w:rFonts w:cs="宋体"/>
                <w:sz w:val="24"/>
              </w:rPr>
            </w:pPr>
            <w:r>
              <w:rPr>
                <w:rFonts w:hint="eastAsia" w:cs="宋体"/>
                <w:sz w:val="24"/>
              </w:rPr>
              <w:t>—物质是供给还是提取；</w:t>
            </w:r>
          </w:p>
          <w:p>
            <w:pPr>
              <w:rPr>
                <w:rFonts w:cs="宋体"/>
                <w:sz w:val="24"/>
              </w:rPr>
            </w:pPr>
            <w:r>
              <w:rPr>
                <w:rFonts w:hint="eastAsia" w:cs="宋体"/>
                <w:sz w:val="24"/>
              </w:rPr>
              <w:t>—是单一物质还是几种物质；</w:t>
            </w:r>
          </w:p>
          <w:p>
            <w:pPr>
              <w:rPr>
                <w:rFonts w:cs="宋体"/>
                <w:sz w:val="24"/>
              </w:rPr>
            </w:pPr>
            <w:r>
              <w:rPr>
                <w:rFonts w:hint="eastAsia" w:cs="宋体"/>
                <w:sz w:val="24"/>
              </w:rPr>
              <w:t>—最大和最小传输速率及其控制。</w:t>
            </w:r>
          </w:p>
        </w:tc>
        <w:tc>
          <w:tcPr>
            <w:tcW w:w="493" w:type="pct"/>
          </w:tcPr>
          <w:p>
            <w:pPr>
              <w:rPr>
                <w:rFonts w:cs="宋体"/>
                <w:sz w:val="24"/>
              </w:rPr>
            </w:pPr>
            <w:r>
              <w:rPr>
                <w:rFonts w:hint="eastAsia" w:cs="宋体"/>
                <w:sz w:val="24"/>
              </w:rPr>
              <w:t>否</w:t>
            </w:r>
          </w:p>
        </w:tc>
        <w:tc>
          <w:tcPr>
            <w:tcW w:w="1601" w:type="pct"/>
          </w:tcPr>
          <w:p>
            <w:pPr>
              <w:rPr>
                <w:rFonts w:cs="宋体"/>
                <w:sz w:val="24"/>
              </w:rPr>
            </w:pPr>
            <w:r>
              <w:rPr>
                <w:rFonts w:hint="eastAsia" w:cs="宋体"/>
                <w:sz w:val="24"/>
              </w:rPr>
              <w:t>/</w:t>
            </w:r>
          </w:p>
        </w:tc>
        <w:tc>
          <w:tcPr>
            <w:tcW w:w="648" w:type="pct"/>
          </w:tcPr>
          <w:p>
            <w:pPr>
              <w:rPr>
                <w:rFonts w:cs="宋体"/>
                <w:sz w:val="24"/>
              </w:rPr>
            </w:pPr>
            <w:r>
              <w:rPr>
                <w:rFonts w:hint="eastAsia" w:cs="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2256" w:type="pct"/>
          </w:tcPr>
          <w:p>
            <w:pPr>
              <w:rPr>
                <w:rFonts w:cs="宋体"/>
                <w:sz w:val="24"/>
              </w:rPr>
            </w:pPr>
            <w:r>
              <w:rPr>
                <w:rFonts w:hint="eastAsia" w:cs="宋体"/>
                <w:sz w:val="24"/>
              </w:rPr>
              <w:t>C.2.7 医疗器械是否处理生物材料用于随后的再使用、输液/血或移植？</w:t>
            </w:r>
          </w:p>
          <w:p>
            <w:pPr>
              <w:rPr>
                <w:rFonts w:cs="宋体"/>
                <w:sz w:val="24"/>
              </w:rPr>
            </w:pPr>
            <w:r>
              <w:rPr>
                <w:rFonts w:hint="eastAsia" w:cs="宋体"/>
                <w:sz w:val="24"/>
              </w:rPr>
              <w:t>宜考虑的因素包括处理的方式和处理的物质（如自动输液/血、透析、血液成分或细胞疗法处理）。</w:t>
            </w:r>
          </w:p>
        </w:tc>
        <w:tc>
          <w:tcPr>
            <w:tcW w:w="493" w:type="pct"/>
          </w:tcPr>
          <w:p>
            <w:pPr>
              <w:rPr>
                <w:rFonts w:cs="宋体"/>
                <w:sz w:val="24"/>
              </w:rPr>
            </w:pPr>
            <w:r>
              <w:rPr>
                <w:rFonts w:hint="eastAsia" w:cs="宋体"/>
                <w:sz w:val="24"/>
              </w:rPr>
              <w:t>否</w:t>
            </w:r>
          </w:p>
        </w:tc>
        <w:tc>
          <w:tcPr>
            <w:tcW w:w="1601" w:type="pct"/>
          </w:tcPr>
          <w:p>
            <w:pPr>
              <w:rPr>
                <w:rFonts w:cs="宋体"/>
                <w:sz w:val="24"/>
              </w:rPr>
            </w:pPr>
            <w:r>
              <w:rPr>
                <w:rFonts w:hint="eastAsia" w:cs="宋体"/>
                <w:sz w:val="24"/>
              </w:rPr>
              <w:t>/</w:t>
            </w:r>
          </w:p>
        </w:tc>
        <w:tc>
          <w:tcPr>
            <w:tcW w:w="648" w:type="pct"/>
          </w:tcPr>
          <w:p>
            <w:pPr>
              <w:rPr>
                <w:rFonts w:cs="宋体"/>
                <w:sz w:val="24"/>
              </w:rPr>
            </w:pPr>
            <w:r>
              <w:rPr>
                <w:rFonts w:hint="eastAsia" w:cs="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2256" w:type="pct"/>
          </w:tcPr>
          <w:p>
            <w:pPr>
              <w:rPr>
                <w:rFonts w:cs="宋体"/>
                <w:sz w:val="24"/>
              </w:rPr>
            </w:pPr>
            <w:r>
              <w:rPr>
                <w:rFonts w:hint="eastAsia" w:cs="宋体"/>
                <w:sz w:val="24"/>
              </w:rPr>
              <w:t>C.2.8医疗器械是否以无菌形式提供或预期由使用者灭菌，或其他适用的微生物控制方法？</w:t>
            </w:r>
          </w:p>
          <w:p>
            <w:pPr>
              <w:rPr>
                <w:rFonts w:cs="宋体"/>
                <w:sz w:val="24"/>
              </w:rPr>
            </w:pPr>
            <w:r>
              <w:rPr>
                <w:rFonts w:hint="eastAsia" w:cs="宋体"/>
                <w:sz w:val="24"/>
              </w:rPr>
              <w:t>宜考虑的因素包括：</w:t>
            </w:r>
          </w:p>
          <w:p>
            <w:pPr>
              <w:rPr>
                <w:rFonts w:cs="宋体"/>
                <w:sz w:val="24"/>
              </w:rPr>
            </w:pPr>
            <w:r>
              <w:rPr>
                <w:rFonts w:hint="eastAsia" w:cs="宋体"/>
                <w:sz w:val="24"/>
              </w:rPr>
              <w:t>—医疗器械是预期一次性使用包装，还是重复使用包装；</w:t>
            </w:r>
          </w:p>
          <w:p>
            <w:pPr>
              <w:rPr>
                <w:rFonts w:cs="宋体"/>
                <w:sz w:val="24"/>
              </w:rPr>
            </w:pPr>
            <w:r>
              <w:rPr>
                <w:rFonts w:hint="eastAsia" w:cs="宋体"/>
                <w:sz w:val="24"/>
              </w:rPr>
              <w:t>—贮存寿命的标示；</w:t>
            </w:r>
          </w:p>
          <w:p>
            <w:pPr>
              <w:rPr>
                <w:rFonts w:cs="宋体"/>
                <w:sz w:val="24"/>
              </w:rPr>
            </w:pPr>
            <w:r>
              <w:rPr>
                <w:rFonts w:hint="eastAsia" w:cs="宋体"/>
                <w:sz w:val="24"/>
              </w:rPr>
              <w:t>—重复使用周期次数的限制；</w:t>
            </w:r>
          </w:p>
          <w:p>
            <w:pPr>
              <w:rPr>
                <w:rFonts w:cs="宋体"/>
                <w:sz w:val="24"/>
              </w:rPr>
            </w:pPr>
            <w:r>
              <w:rPr>
                <w:rFonts w:hint="eastAsia" w:cs="宋体"/>
                <w:sz w:val="24"/>
              </w:rPr>
              <w:t>—产品灭菌方法；</w:t>
            </w:r>
          </w:p>
          <w:p>
            <w:pPr>
              <w:rPr>
                <w:rFonts w:cs="宋体"/>
                <w:sz w:val="24"/>
              </w:rPr>
            </w:pPr>
            <w:r>
              <w:rPr>
                <w:rFonts w:hint="eastAsia" w:cs="宋体"/>
                <w:sz w:val="24"/>
              </w:rPr>
              <w:t>—非制造商预期的其他灭菌方式的影响。</w:t>
            </w:r>
          </w:p>
        </w:tc>
        <w:tc>
          <w:tcPr>
            <w:tcW w:w="493" w:type="pct"/>
          </w:tcPr>
          <w:p>
            <w:pPr>
              <w:rPr>
                <w:rFonts w:cs="宋体"/>
                <w:sz w:val="24"/>
              </w:rPr>
            </w:pPr>
            <w:r>
              <w:rPr>
                <w:rFonts w:hint="eastAsia" w:cs="宋体"/>
                <w:sz w:val="24"/>
              </w:rPr>
              <w:t>否</w:t>
            </w:r>
          </w:p>
        </w:tc>
        <w:tc>
          <w:tcPr>
            <w:tcW w:w="1601" w:type="pct"/>
          </w:tcPr>
          <w:p>
            <w:pPr>
              <w:rPr>
                <w:rFonts w:cs="宋体"/>
                <w:sz w:val="24"/>
              </w:rPr>
            </w:pPr>
            <w:r>
              <w:rPr>
                <w:rFonts w:hint="eastAsia" w:cs="宋体"/>
                <w:sz w:val="24"/>
              </w:rPr>
              <w:t>/</w:t>
            </w:r>
          </w:p>
        </w:tc>
        <w:tc>
          <w:tcPr>
            <w:tcW w:w="648" w:type="pct"/>
          </w:tcPr>
          <w:p>
            <w:pPr>
              <w:rPr>
                <w:rFonts w:cs="宋体"/>
                <w:sz w:val="24"/>
              </w:rPr>
            </w:pPr>
            <w:r>
              <w:rPr>
                <w:rFonts w:hint="eastAsia" w:cs="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2256" w:type="pct"/>
          </w:tcPr>
          <w:p>
            <w:pPr>
              <w:rPr>
                <w:rFonts w:cs="宋体"/>
                <w:sz w:val="24"/>
              </w:rPr>
            </w:pPr>
            <w:r>
              <w:rPr>
                <w:rFonts w:hint="eastAsia" w:cs="宋体"/>
                <w:sz w:val="24"/>
              </w:rPr>
              <w:t>C.2.9 医疗器械是否预期由用户进行常规清洁和消毒？</w:t>
            </w:r>
          </w:p>
          <w:p>
            <w:pPr>
              <w:rPr>
                <w:rFonts w:cs="宋体"/>
                <w:sz w:val="24"/>
              </w:rPr>
            </w:pPr>
            <w:r>
              <w:rPr>
                <w:rFonts w:hint="eastAsia" w:cs="宋体"/>
                <w:sz w:val="24"/>
              </w:rPr>
              <w:t>宜考虑的因素包括使用的清洁剂或消毒剂的类型和清洁周期次数的限制。医疗器械的设计可影响日常清洁和消毒的有效性。另外，宜考虑清洁剂或消毒剂对器械安全性和性能的影响。</w:t>
            </w:r>
          </w:p>
        </w:tc>
        <w:tc>
          <w:tcPr>
            <w:tcW w:w="493" w:type="pct"/>
          </w:tcPr>
          <w:p>
            <w:pPr>
              <w:rPr>
                <w:rFonts w:cs="宋体"/>
                <w:sz w:val="24"/>
              </w:rPr>
            </w:pPr>
            <w:r>
              <w:rPr>
                <w:rFonts w:hint="eastAsia" w:cs="宋体"/>
                <w:sz w:val="24"/>
              </w:rPr>
              <w:t>否</w:t>
            </w:r>
          </w:p>
        </w:tc>
        <w:tc>
          <w:tcPr>
            <w:tcW w:w="1601" w:type="pct"/>
          </w:tcPr>
          <w:p>
            <w:pPr>
              <w:rPr>
                <w:rFonts w:cs="宋体"/>
                <w:sz w:val="24"/>
              </w:rPr>
            </w:pPr>
            <w:r>
              <w:rPr>
                <w:rFonts w:hint="eastAsia" w:cs="宋体"/>
                <w:sz w:val="24"/>
              </w:rPr>
              <w:t>/</w:t>
            </w:r>
          </w:p>
        </w:tc>
        <w:tc>
          <w:tcPr>
            <w:tcW w:w="648" w:type="pct"/>
          </w:tcPr>
          <w:p>
            <w:pPr>
              <w:rPr>
                <w:rFonts w:cs="宋体"/>
                <w:sz w:val="24"/>
              </w:rPr>
            </w:pPr>
            <w:r>
              <w:rPr>
                <w:rFonts w:hint="eastAsia" w:cs="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2256" w:type="pct"/>
          </w:tcPr>
          <w:p>
            <w:pPr>
              <w:rPr>
                <w:rFonts w:cs="宋体"/>
                <w:sz w:val="24"/>
              </w:rPr>
            </w:pPr>
            <w:r>
              <w:rPr>
                <w:rFonts w:hint="eastAsia" w:cs="宋体"/>
                <w:sz w:val="24"/>
              </w:rPr>
              <w:t>C.2.10 医疗器械是否预期改善患者的环境？</w:t>
            </w:r>
          </w:p>
          <w:p>
            <w:pPr>
              <w:rPr>
                <w:rFonts w:cs="宋体"/>
                <w:sz w:val="24"/>
              </w:rPr>
            </w:pPr>
            <w:r>
              <w:rPr>
                <w:rFonts w:hint="eastAsia" w:cs="宋体"/>
                <w:sz w:val="24"/>
              </w:rPr>
              <w:t xml:space="preserve">宜考虑的因素包括： </w:t>
            </w:r>
          </w:p>
          <w:p>
            <w:pPr>
              <w:rPr>
                <w:rFonts w:cs="宋体"/>
                <w:sz w:val="24"/>
              </w:rPr>
            </w:pPr>
            <w:r>
              <w:rPr>
                <w:rFonts w:hint="eastAsia" w:cs="宋体"/>
                <w:sz w:val="24"/>
              </w:rPr>
              <w:t>—温度；</w:t>
            </w:r>
          </w:p>
          <w:p>
            <w:pPr>
              <w:rPr>
                <w:rFonts w:cs="宋体"/>
                <w:sz w:val="24"/>
              </w:rPr>
            </w:pPr>
            <w:r>
              <w:rPr>
                <w:rFonts w:hint="eastAsia" w:cs="宋体"/>
                <w:sz w:val="24"/>
              </w:rPr>
              <w:t>—湿度；</w:t>
            </w:r>
          </w:p>
          <w:p>
            <w:pPr>
              <w:rPr>
                <w:rFonts w:cs="宋体"/>
                <w:sz w:val="24"/>
              </w:rPr>
            </w:pPr>
            <w:r>
              <w:rPr>
                <w:rFonts w:hint="eastAsia" w:cs="宋体"/>
                <w:sz w:val="24"/>
              </w:rPr>
              <w:t>—大气成分；</w:t>
            </w:r>
          </w:p>
          <w:p>
            <w:pPr>
              <w:rPr>
                <w:rFonts w:cs="宋体"/>
                <w:sz w:val="24"/>
              </w:rPr>
            </w:pPr>
            <w:r>
              <w:rPr>
                <w:rFonts w:hint="eastAsia" w:cs="宋体"/>
                <w:sz w:val="24"/>
              </w:rPr>
              <w:t>—压力；</w:t>
            </w:r>
          </w:p>
          <w:p>
            <w:pPr>
              <w:rPr>
                <w:rFonts w:cs="宋体"/>
                <w:sz w:val="24"/>
              </w:rPr>
            </w:pPr>
            <w:r>
              <w:rPr>
                <w:rFonts w:hint="eastAsia" w:cs="宋体"/>
                <w:sz w:val="24"/>
              </w:rPr>
              <w:t>—光线。</w:t>
            </w:r>
          </w:p>
        </w:tc>
        <w:tc>
          <w:tcPr>
            <w:tcW w:w="493" w:type="pct"/>
          </w:tcPr>
          <w:p>
            <w:pPr>
              <w:rPr>
                <w:rFonts w:cs="宋体"/>
                <w:sz w:val="24"/>
              </w:rPr>
            </w:pPr>
            <w:r>
              <w:rPr>
                <w:rFonts w:hint="eastAsia" w:cs="宋体"/>
                <w:sz w:val="24"/>
              </w:rPr>
              <w:t>否</w:t>
            </w:r>
          </w:p>
        </w:tc>
        <w:tc>
          <w:tcPr>
            <w:tcW w:w="1601" w:type="pct"/>
          </w:tcPr>
          <w:p>
            <w:pPr>
              <w:rPr>
                <w:rFonts w:cs="宋体"/>
                <w:sz w:val="24"/>
              </w:rPr>
            </w:pPr>
            <w:r>
              <w:rPr>
                <w:rFonts w:hint="eastAsia" w:cs="宋体"/>
                <w:sz w:val="24"/>
              </w:rPr>
              <w:t>/</w:t>
            </w:r>
          </w:p>
        </w:tc>
        <w:tc>
          <w:tcPr>
            <w:tcW w:w="648" w:type="pct"/>
          </w:tcPr>
          <w:p>
            <w:pPr>
              <w:rPr>
                <w:rFonts w:cs="宋体"/>
                <w:sz w:val="24"/>
              </w:rPr>
            </w:pPr>
            <w:r>
              <w:rPr>
                <w:rFonts w:hint="eastAsia" w:cs="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2256" w:type="pct"/>
          </w:tcPr>
          <w:p>
            <w:pPr>
              <w:rPr>
                <w:rFonts w:cs="宋体"/>
                <w:sz w:val="24"/>
              </w:rPr>
            </w:pPr>
            <w:r>
              <w:rPr>
                <w:rFonts w:hint="eastAsia" w:cs="宋体"/>
                <w:sz w:val="24"/>
              </w:rPr>
              <w:t>C.2.11 是否进行测量？</w:t>
            </w:r>
          </w:p>
          <w:p>
            <w:pPr>
              <w:rPr>
                <w:rFonts w:cs="宋体"/>
                <w:sz w:val="24"/>
              </w:rPr>
            </w:pPr>
            <w:r>
              <w:rPr>
                <w:rFonts w:hint="eastAsia" w:cs="宋体"/>
                <w:sz w:val="24"/>
              </w:rPr>
              <w:t>宜考虑的因素包括测量变量和测量结果的准确度和精密度。</w:t>
            </w:r>
          </w:p>
        </w:tc>
        <w:tc>
          <w:tcPr>
            <w:tcW w:w="493" w:type="pct"/>
          </w:tcPr>
          <w:p>
            <w:pPr>
              <w:pStyle w:val="43"/>
              <w:ind w:firstLine="0" w:firstLineChars="0"/>
              <w:rPr>
                <w:rFonts w:ascii="Times New Roman" w:hAnsi="Times New Roman" w:cs="宋体"/>
                <w:sz w:val="24"/>
                <w:szCs w:val="24"/>
              </w:rPr>
            </w:pPr>
            <w:r>
              <w:rPr>
                <w:rFonts w:hint="eastAsia" w:ascii="Times New Roman" w:hAnsi="Times New Roman" w:cs="宋体"/>
                <w:sz w:val="24"/>
                <w:szCs w:val="24"/>
              </w:rPr>
              <w:t>否</w:t>
            </w:r>
          </w:p>
        </w:tc>
        <w:tc>
          <w:tcPr>
            <w:tcW w:w="1601" w:type="pct"/>
          </w:tcPr>
          <w:p>
            <w:pPr>
              <w:pStyle w:val="43"/>
              <w:ind w:firstLine="0" w:firstLineChars="0"/>
              <w:rPr>
                <w:rFonts w:ascii="Times New Roman" w:hAnsi="Times New Roman" w:cs="宋体"/>
                <w:sz w:val="24"/>
                <w:szCs w:val="24"/>
              </w:rPr>
            </w:pPr>
            <w:r>
              <w:rPr>
                <w:rFonts w:hint="eastAsia" w:ascii="Times New Roman" w:hAnsi="Times New Roman" w:cs="宋体"/>
                <w:sz w:val="24"/>
                <w:szCs w:val="24"/>
              </w:rPr>
              <w:t>/</w:t>
            </w:r>
          </w:p>
        </w:tc>
        <w:tc>
          <w:tcPr>
            <w:tcW w:w="648" w:type="pct"/>
          </w:tcPr>
          <w:p>
            <w:pPr>
              <w:pStyle w:val="43"/>
              <w:ind w:firstLine="0" w:firstLineChars="0"/>
              <w:rPr>
                <w:rFonts w:ascii="Times New Roman" w:hAnsi="Times New Roman" w:cs="宋体"/>
                <w:sz w:val="24"/>
                <w:szCs w:val="24"/>
              </w:rPr>
            </w:pPr>
            <w:r>
              <w:rPr>
                <w:rFonts w:hint="eastAsia" w:ascii="Times New Roman" w:hAnsi="Times New Roman" w:cs="宋体"/>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2256" w:type="pct"/>
          </w:tcPr>
          <w:p>
            <w:pPr>
              <w:rPr>
                <w:rFonts w:cs="宋体"/>
                <w:sz w:val="24"/>
              </w:rPr>
            </w:pPr>
            <w:r>
              <w:rPr>
                <w:rFonts w:hint="eastAsia" w:cs="宋体"/>
                <w:sz w:val="24"/>
              </w:rPr>
              <w:t>C.2.12 医疗器械是否进行分析处理？</w:t>
            </w:r>
          </w:p>
          <w:p>
            <w:pPr>
              <w:rPr>
                <w:rFonts w:cs="宋体"/>
                <w:sz w:val="24"/>
              </w:rPr>
            </w:pPr>
            <w:r>
              <w:rPr>
                <w:rFonts w:hint="eastAsia" w:cs="宋体"/>
                <w:sz w:val="24"/>
              </w:rPr>
              <w:t>宜考虑的因素包括医疗器械是否由输入或获得的数据显示结论、所采用的计算方法和置信限。宜特别注意数据和计算方法的非预期应用。</w:t>
            </w:r>
          </w:p>
        </w:tc>
        <w:tc>
          <w:tcPr>
            <w:tcW w:w="493" w:type="pct"/>
          </w:tcPr>
          <w:p>
            <w:pPr>
              <w:rPr>
                <w:rFonts w:cs="宋体"/>
                <w:sz w:val="24"/>
              </w:rPr>
            </w:pPr>
            <w:r>
              <w:rPr>
                <w:rFonts w:hint="eastAsia" w:cs="宋体"/>
                <w:sz w:val="24"/>
              </w:rPr>
              <w:t>否</w:t>
            </w:r>
          </w:p>
        </w:tc>
        <w:tc>
          <w:tcPr>
            <w:tcW w:w="1601" w:type="pct"/>
          </w:tcPr>
          <w:p>
            <w:pPr>
              <w:rPr>
                <w:rFonts w:cs="宋体"/>
                <w:sz w:val="24"/>
              </w:rPr>
            </w:pPr>
            <w:r>
              <w:rPr>
                <w:rFonts w:hint="eastAsia" w:cs="宋体"/>
                <w:sz w:val="24"/>
              </w:rPr>
              <w:t>/</w:t>
            </w:r>
          </w:p>
        </w:tc>
        <w:tc>
          <w:tcPr>
            <w:tcW w:w="648" w:type="pct"/>
          </w:tcPr>
          <w:p>
            <w:pPr>
              <w:rPr>
                <w:rFonts w:cs="宋体"/>
                <w:sz w:val="24"/>
              </w:rPr>
            </w:pPr>
            <w:r>
              <w:rPr>
                <w:rFonts w:hint="eastAsia" w:cs="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2256" w:type="pct"/>
          </w:tcPr>
          <w:p>
            <w:pPr>
              <w:rPr>
                <w:rFonts w:cs="宋体"/>
                <w:sz w:val="24"/>
              </w:rPr>
            </w:pPr>
            <w:r>
              <w:rPr>
                <w:rFonts w:hint="eastAsia" w:cs="宋体"/>
                <w:sz w:val="24"/>
              </w:rPr>
              <w:t>C.2.13 医疗器械是否预期和其他医疗器械、医药或其他医疗技术联合使用？</w:t>
            </w:r>
          </w:p>
          <w:p>
            <w:pPr>
              <w:rPr>
                <w:rFonts w:cs="宋体"/>
                <w:sz w:val="24"/>
              </w:rPr>
            </w:pPr>
            <w:r>
              <w:rPr>
                <w:rFonts w:hint="eastAsia" w:cs="宋体"/>
                <w:sz w:val="24"/>
              </w:rPr>
              <w:t>宜考虑的因素包括识别可能涉及的任何其他医疗器械、医药或其他医疗技术和与其相互作用有关的潜在问题，以及患者是否遵从治疗。</w:t>
            </w:r>
          </w:p>
        </w:tc>
        <w:tc>
          <w:tcPr>
            <w:tcW w:w="493" w:type="pct"/>
          </w:tcPr>
          <w:p>
            <w:pPr>
              <w:rPr>
                <w:rFonts w:cs="宋体"/>
                <w:sz w:val="24"/>
              </w:rPr>
            </w:pPr>
            <w:r>
              <w:rPr>
                <w:rFonts w:hint="eastAsia" w:cs="宋体"/>
                <w:sz w:val="24"/>
              </w:rPr>
              <w:t>否</w:t>
            </w:r>
          </w:p>
        </w:tc>
        <w:tc>
          <w:tcPr>
            <w:tcW w:w="1601" w:type="pct"/>
          </w:tcPr>
          <w:p>
            <w:pPr>
              <w:rPr>
                <w:rFonts w:cs="宋体"/>
                <w:sz w:val="24"/>
              </w:rPr>
            </w:pPr>
          </w:p>
        </w:tc>
        <w:tc>
          <w:tcPr>
            <w:tcW w:w="648" w:type="pct"/>
          </w:tcPr>
          <w:p>
            <w:pPr>
              <w:rPr>
                <w:rFonts w:cs="宋体"/>
                <w:sz w:val="24"/>
              </w:rPr>
            </w:pPr>
            <w:r>
              <w:rPr>
                <w:rFonts w:hint="eastAsia" w:cs="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2256" w:type="pct"/>
          </w:tcPr>
          <w:p>
            <w:pPr>
              <w:rPr>
                <w:rFonts w:cs="宋体"/>
                <w:sz w:val="24"/>
              </w:rPr>
            </w:pPr>
            <w:r>
              <w:rPr>
                <w:rFonts w:hint="eastAsia" w:cs="宋体"/>
                <w:sz w:val="24"/>
              </w:rPr>
              <w:t>C.2.14 是否有不希望的能量或物质输出？</w:t>
            </w:r>
          </w:p>
          <w:p>
            <w:pPr>
              <w:rPr>
                <w:rFonts w:cs="宋体"/>
                <w:sz w:val="24"/>
              </w:rPr>
            </w:pPr>
            <w:r>
              <w:rPr>
                <w:rFonts w:hint="eastAsia" w:cs="宋体"/>
                <w:sz w:val="24"/>
              </w:rPr>
              <w:t>宜考虑的与能量相关的因素包括噪声与振动、热、辐射（包括电离、非电离辐射和紫外/可见光/红外辐射）、接触温度、漏电流和电场或磁场。</w:t>
            </w:r>
          </w:p>
          <w:p>
            <w:pPr>
              <w:rPr>
                <w:rFonts w:cs="宋体"/>
                <w:sz w:val="24"/>
              </w:rPr>
            </w:pPr>
            <w:r>
              <w:rPr>
                <w:rFonts w:hint="eastAsia" w:cs="宋体"/>
                <w:sz w:val="24"/>
              </w:rPr>
              <w:t>宜考虑的与物质相关的因素包括制造、清洁或试验中使用的物质，如果该物质残留在产品中具有不希望的生理效应。</w:t>
            </w:r>
          </w:p>
          <w:p>
            <w:pPr>
              <w:rPr>
                <w:rFonts w:cs="宋体"/>
                <w:sz w:val="24"/>
              </w:rPr>
            </w:pPr>
            <w:r>
              <w:rPr>
                <w:rFonts w:hint="eastAsia" w:cs="宋体"/>
                <w:sz w:val="24"/>
              </w:rPr>
              <w:t>宜考虑的与物质相关的其他因素包括化学物质、废物和体液的排放。</w:t>
            </w:r>
          </w:p>
        </w:tc>
        <w:tc>
          <w:tcPr>
            <w:tcW w:w="493" w:type="pct"/>
          </w:tcPr>
          <w:p>
            <w:pPr>
              <w:rPr>
                <w:rFonts w:cs="宋体"/>
                <w:sz w:val="24"/>
              </w:rPr>
            </w:pPr>
            <w:r>
              <w:rPr>
                <w:rFonts w:hint="eastAsia" w:cs="宋体"/>
                <w:sz w:val="24"/>
              </w:rPr>
              <w:t>否</w:t>
            </w:r>
          </w:p>
        </w:tc>
        <w:tc>
          <w:tcPr>
            <w:tcW w:w="1601" w:type="pct"/>
          </w:tcPr>
          <w:p>
            <w:pPr>
              <w:rPr>
                <w:rFonts w:cs="宋体"/>
                <w:sz w:val="24"/>
              </w:rPr>
            </w:pPr>
            <w:r>
              <w:rPr>
                <w:rFonts w:hint="eastAsia" w:cs="宋体"/>
                <w:sz w:val="24"/>
              </w:rPr>
              <w:t>/</w:t>
            </w:r>
          </w:p>
        </w:tc>
        <w:tc>
          <w:tcPr>
            <w:tcW w:w="648" w:type="pct"/>
          </w:tcPr>
          <w:p>
            <w:pPr>
              <w:rPr>
                <w:rFonts w:cs="宋体"/>
                <w:sz w:val="24"/>
              </w:rPr>
            </w:pPr>
            <w:r>
              <w:rPr>
                <w:rFonts w:hint="eastAsia" w:cs="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2256" w:type="pct"/>
          </w:tcPr>
          <w:p>
            <w:pPr>
              <w:rPr>
                <w:rFonts w:cs="宋体"/>
                <w:sz w:val="24"/>
              </w:rPr>
            </w:pPr>
            <w:r>
              <w:rPr>
                <w:rFonts w:hint="eastAsia" w:cs="宋体"/>
                <w:sz w:val="24"/>
              </w:rPr>
              <w:t>C.2.15 医疗器械是否易受环境影响？</w:t>
            </w:r>
          </w:p>
          <w:p>
            <w:pPr>
              <w:rPr>
                <w:rFonts w:cs="宋体"/>
                <w:sz w:val="24"/>
              </w:rPr>
            </w:pPr>
            <w:r>
              <w:rPr>
                <w:rFonts w:hint="eastAsia" w:cs="宋体"/>
                <w:sz w:val="24"/>
              </w:rPr>
              <w:t>宜考虑的因素包括操作、运输和贮存环境。它们包括光、温度、湿度、振动、泄漏、对能源和致冷供应变化的敏感性和电磁干扰。</w:t>
            </w:r>
          </w:p>
        </w:tc>
        <w:tc>
          <w:tcPr>
            <w:tcW w:w="493" w:type="pct"/>
          </w:tcPr>
          <w:p>
            <w:pPr>
              <w:rPr>
                <w:rFonts w:cs="宋体"/>
                <w:sz w:val="24"/>
              </w:rPr>
            </w:pPr>
            <w:r>
              <w:rPr>
                <w:rFonts w:hint="eastAsia" w:cs="宋体"/>
                <w:sz w:val="24"/>
              </w:rPr>
              <w:t>否</w:t>
            </w:r>
          </w:p>
        </w:tc>
        <w:tc>
          <w:tcPr>
            <w:tcW w:w="1601" w:type="pct"/>
          </w:tcPr>
          <w:p>
            <w:pPr>
              <w:rPr>
                <w:rFonts w:cs="宋体"/>
                <w:sz w:val="24"/>
              </w:rPr>
            </w:pPr>
            <w:r>
              <w:rPr>
                <w:rFonts w:hint="eastAsia" w:cs="宋体"/>
                <w:sz w:val="24"/>
              </w:rPr>
              <w:t>/</w:t>
            </w:r>
          </w:p>
        </w:tc>
        <w:tc>
          <w:tcPr>
            <w:tcW w:w="648" w:type="pct"/>
          </w:tcPr>
          <w:p>
            <w:pPr>
              <w:rPr>
                <w:rFonts w:cs="宋体"/>
                <w:sz w:val="24"/>
              </w:rPr>
            </w:pPr>
            <w:r>
              <w:rPr>
                <w:rFonts w:hint="eastAsia" w:cs="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2256" w:type="pct"/>
          </w:tcPr>
          <w:p>
            <w:pPr>
              <w:rPr>
                <w:rFonts w:cs="宋体"/>
                <w:sz w:val="24"/>
              </w:rPr>
            </w:pPr>
            <w:r>
              <w:rPr>
                <w:rFonts w:hint="eastAsia" w:cs="宋体"/>
                <w:sz w:val="24"/>
              </w:rPr>
              <w:t>C.2.16 医疗器械是否影响环境？</w:t>
            </w:r>
          </w:p>
          <w:p>
            <w:pPr>
              <w:rPr>
                <w:rFonts w:cs="宋体"/>
                <w:sz w:val="24"/>
              </w:rPr>
            </w:pPr>
            <w:r>
              <w:rPr>
                <w:rFonts w:hint="eastAsia" w:cs="宋体"/>
                <w:sz w:val="24"/>
              </w:rPr>
              <w:t>宜考虑的因素包括：</w:t>
            </w:r>
          </w:p>
          <w:p>
            <w:pPr>
              <w:rPr>
                <w:rFonts w:cs="宋体"/>
                <w:sz w:val="24"/>
              </w:rPr>
            </w:pPr>
            <w:r>
              <w:rPr>
                <w:rFonts w:hint="eastAsia" w:cs="宋体"/>
                <w:sz w:val="24"/>
              </w:rPr>
              <w:t>—对能源和致冷供应的影响；</w:t>
            </w:r>
          </w:p>
          <w:p>
            <w:pPr>
              <w:rPr>
                <w:rFonts w:cs="宋体"/>
                <w:sz w:val="24"/>
              </w:rPr>
            </w:pPr>
            <w:r>
              <w:rPr>
                <w:rFonts w:hint="eastAsia" w:cs="宋体"/>
                <w:sz w:val="24"/>
              </w:rPr>
              <w:t>—毒性物质的散发；</w:t>
            </w:r>
          </w:p>
          <w:p>
            <w:pPr>
              <w:rPr>
                <w:rFonts w:cs="宋体"/>
                <w:sz w:val="24"/>
              </w:rPr>
            </w:pPr>
            <w:r>
              <w:rPr>
                <w:rFonts w:hint="eastAsia" w:cs="宋体"/>
                <w:sz w:val="24"/>
              </w:rPr>
              <w:t>—电磁干扰的产生。</w:t>
            </w:r>
          </w:p>
        </w:tc>
        <w:tc>
          <w:tcPr>
            <w:tcW w:w="493" w:type="pct"/>
          </w:tcPr>
          <w:p>
            <w:pPr>
              <w:rPr>
                <w:rFonts w:cs="宋体"/>
                <w:sz w:val="24"/>
              </w:rPr>
            </w:pPr>
            <w:r>
              <w:rPr>
                <w:rFonts w:hint="eastAsia" w:cs="宋体"/>
                <w:sz w:val="24"/>
              </w:rPr>
              <w:t>否</w:t>
            </w:r>
          </w:p>
        </w:tc>
        <w:tc>
          <w:tcPr>
            <w:tcW w:w="1601" w:type="pct"/>
          </w:tcPr>
          <w:p>
            <w:pPr>
              <w:rPr>
                <w:rFonts w:cs="宋体"/>
                <w:sz w:val="24"/>
              </w:rPr>
            </w:pPr>
            <w:r>
              <w:rPr>
                <w:rFonts w:hint="eastAsia" w:cs="宋体"/>
                <w:sz w:val="24"/>
              </w:rPr>
              <w:t>/</w:t>
            </w:r>
          </w:p>
        </w:tc>
        <w:tc>
          <w:tcPr>
            <w:tcW w:w="648" w:type="pct"/>
          </w:tcPr>
          <w:p>
            <w:pPr>
              <w:rPr>
                <w:rFonts w:cs="宋体"/>
                <w:sz w:val="24"/>
              </w:rPr>
            </w:pPr>
            <w:r>
              <w:rPr>
                <w:rFonts w:hint="eastAsia" w:cs="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2256" w:type="pct"/>
          </w:tcPr>
          <w:p>
            <w:pPr>
              <w:rPr>
                <w:rFonts w:cs="宋体"/>
                <w:sz w:val="24"/>
              </w:rPr>
            </w:pPr>
            <w:r>
              <w:rPr>
                <w:rFonts w:hint="eastAsia" w:cs="宋体"/>
                <w:sz w:val="24"/>
              </w:rPr>
              <w:t>C.2.17 医疗器械是否有基本的消耗品或附件？</w:t>
            </w:r>
          </w:p>
          <w:p>
            <w:pPr>
              <w:rPr>
                <w:rFonts w:cs="宋体"/>
                <w:sz w:val="24"/>
              </w:rPr>
            </w:pPr>
            <w:r>
              <w:rPr>
                <w:rFonts w:hint="eastAsia" w:cs="宋体"/>
                <w:sz w:val="24"/>
              </w:rPr>
              <w:t>宜考虑的因素包括消耗品或附件的规范以及对使用者选择它们的任何限制。</w:t>
            </w:r>
          </w:p>
        </w:tc>
        <w:tc>
          <w:tcPr>
            <w:tcW w:w="493" w:type="pct"/>
          </w:tcPr>
          <w:p>
            <w:pPr>
              <w:rPr>
                <w:rFonts w:cs="宋体"/>
                <w:sz w:val="24"/>
              </w:rPr>
            </w:pPr>
            <w:r>
              <w:rPr>
                <w:rFonts w:hint="eastAsia" w:cs="宋体"/>
                <w:sz w:val="24"/>
              </w:rPr>
              <w:t>否</w:t>
            </w:r>
          </w:p>
        </w:tc>
        <w:tc>
          <w:tcPr>
            <w:tcW w:w="1601" w:type="pct"/>
          </w:tcPr>
          <w:p>
            <w:pPr>
              <w:rPr>
                <w:rFonts w:cs="宋体"/>
                <w:sz w:val="24"/>
              </w:rPr>
            </w:pPr>
            <w:r>
              <w:rPr>
                <w:rFonts w:hint="eastAsia" w:cs="宋体"/>
                <w:sz w:val="24"/>
              </w:rPr>
              <w:t>/</w:t>
            </w:r>
          </w:p>
        </w:tc>
        <w:tc>
          <w:tcPr>
            <w:tcW w:w="648" w:type="pct"/>
          </w:tcPr>
          <w:p>
            <w:pPr>
              <w:rPr>
                <w:rFonts w:cs="宋体"/>
                <w:sz w:val="24"/>
              </w:rPr>
            </w:pPr>
            <w:r>
              <w:rPr>
                <w:rFonts w:hint="eastAsia" w:cs="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2256" w:type="pct"/>
          </w:tcPr>
          <w:p>
            <w:pPr>
              <w:rPr>
                <w:rFonts w:cs="宋体"/>
                <w:sz w:val="24"/>
              </w:rPr>
            </w:pPr>
            <w:r>
              <w:rPr>
                <w:rFonts w:hint="eastAsia" w:cs="宋体"/>
                <w:sz w:val="24"/>
              </w:rPr>
              <w:t>C.2.18 是否需要维护和校准？</w:t>
            </w:r>
          </w:p>
          <w:p>
            <w:pPr>
              <w:rPr>
                <w:rFonts w:cs="宋体"/>
                <w:sz w:val="24"/>
              </w:rPr>
            </w:pPr>
            <w:r>
              <w:rPr>
                <w:rFonts w:hint="eastAsia" w:cs="宋体"/>
                <w:sz w:val="24"/>
              </w:rPr>
              <w:t>宜考虑的因素包括：</w:t>
            </w:r>
          </w:p>
          <w:p>
            <w:pPr>
              <w:rPr>
                <w:rFonts w:cs="宋体"/>
                <w:sz w:val="24"/>
              </w:rPr>
            </w:pPr>
            <w:r>
              <w:rPr>
                <w:rFonts w:hint="eastAsia" w:cs="宋体"/>
                <w:sz w:val="24"/>
              </w:rPr>
              <w:t>—维护或校准是否由操作者或使用者或专门人员来进行？</w:t>
            </w:r>
          </w:p>
          <w:p>
            <w:pPr>
              <w:rPr>
                <w:rFonts w:cs="宋体"/>
                <w:sz w:val="24"/>
              </w:rPr>
            </w:pPr>
            <w:r>
              <w:rPr>
                <w:rFonts w:hint="eastAsia" w:cs="宋体"/>
                <w:sz w:val="24"/>
              </w:rPr>
              <w:t>—是否需要专门的物质或设备来进行适当的维护或校准？</w:t>
            </w:r>
          </w:p>
        </w:tc>
        <w:tc>
          <w:tcPr>
            <w:tcW w:w="493" w:type="pct"/>
          </w:tcPr>
          <w:p>
            <w:pPr>
              <w:pStyle w:val="43"/>
              <w:ind w:firstLine="0" w:firstLineChars="0"/>
              <w:rPr>
                <w:rFonts w:ascii="Times New Roman" w:hAnsi="Times New Roman" w:cs="宋体"/>
                <w:sz w:val="24"/>
                <w:szCs w:val="24"/>
              </w:rPr>
            </w:pPr>
            <w:r>
              <w:rPr>
                <w:rFonts w:hint="eastAsia" w:ascii="Times New Roman" w:hAnsi="Times New Roman" w:cs="宋体"/>
                <w:sz w:val="24"/>
                <w:szCs w:val="24"/>
              </w:rPr>
              <w:t>是</w:t>
            </w:r>
          </w:p>
        </w:tc>
        <w:tc>
          <w:tcPr>
            <w:tcW w:w="1601" w:type="pct"/>
          </w:tcPr>
          <w:p>
            <w:pPr>
              <w:pStyle w:val="43"/>
              <w:ind w:firstLine="0" w:firstLineChars="0"/>
              <w:rPr>
                <w:rFonts w:ascii="Times New Roman" w:hAnsi="Times New Roman" w:cs="宋体"/>
                <w:sz w:val="24"/>
                <w:szCs w:val="24"/>
              </w:rPr>
            </w:pPr>
            <w:r>
              <w:rPr>
                <w:rFonts w:hint="eastAsia" w:ascii="Times New Roman" w:hAnsi="Times New Roman" w:cs="宋体"/>
                <w:sz w:val="24"/>
                <w:szCs w:val="24"/>
              </w:rPr>
              <w:t>用户需要按照使用手册的要求进行使用，维护有公司专业人员进行操作</w:t>
            </w:r>
          </w:p>
        </w:tc>
        <w:tc>
          <w:tcPr>
            <w:tcW w:w="648" w:type="pct"/>
          </w:tcPr>
          <w:p>
            <w:pPr>
              <w:pStyle w:val="43"/>
              <w:ind w:firstLine="0" w:firstLineChars="0"/>
              <w:rPr>
                <w:rFonts w:ascii="Times New Roman" w:hAnsi="Times New Roman" w:cs="宋体"/>
                <w:sz w:val="24"/>
                <w:szCs w:val="24"/>
              </w:rPr>
            </w:pPr>
            <w:r>
              <w:rPr>
                <w:rFonts w:hint="eastAsia" w:ascii="Times New Roman" w:hAnsi="Times New Roman" w:cs="宋体"/>
                <w:sz w:val="24"/>
                <w:szCs w:val="24"/>
              </w:rPr>
              <w:t>操作危害H2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2256" w:type="pct"/>
          </w:tcPr>
          <w:p>
            <w:pPr>
              <w:rPr>
                <w:rFonts w:cs="宋体"/>
                <w:sz w:val="24"/>
              </w:rPr>
            </w:pPr>
            <w:r>
              <w:rPr>
                <w:rFonts w:hint="eastAsia" w:cs="宋体"/>
                <w:sz w:val="24"/>
              </w:rPr>
              <w:t>C.2.19 医疗器械是否包含软件？</w:t>
            </w:r>
          </w:p>
          <w:p>
            <w:pPr>
              <w:rPr>
                <w:rFonts w:cs="宋体"/>
                <w:sz w:val="24"/>
              </w:rPr>
            </w:pPr>
            <w:r>
              <w:rPr>
                <w:rFonts w:hint="eastAsia" w:cs="宋体"/>
                <w:sz w:val="24"/>
              </w:rPr>
              <w:t>宜考虑的因素包括软件是否预期要由使用者或操作者或专家进行安装、验证、修改或更换。</w:t>
            </w:r>
          </w:p>
        </w:tc>
        <w:tc>
          <w:tcPr>
            <w:tcW w:w="493" w:type="pct"/>
          </w:tcPr>
          <w:p>
            <w:pPr>
              <w:pStyle w:val="43"/>
              <w:ind w:firstLine="0" w:firstLineChars="0"/>
              <w:rPr>
                <w:rFonts w:ascii="Times New Roman" w:hAnsi="Times New Roman" w:cs="宋体"/>
                <w:sz w:val="24"/>
                <w:szCs w:val="24"/>
              </w:rPr>
            </w:pPr>
            <w:r>
              <w:rPr>
                <w:rFonts w:hint="eastAsia" w:ascii="Times New Roman" w:hAnsi="Times New Roman" w:cs="宋体"/>
                <w:sz w:val="24"/>
                <w:szCs w:val="24"/>
              </w:rPr>
              <w:t>是</w:t>
            </w:r>
          </w:p>
        </w:tc>
        <w:tc>
          <w:tcPr>
            <w:tcW w:w="1601" w:type="pct"/>
          </w:tcPr>
          <w:p>
            <w:pPr>
              <w:pStyle w:val="43"/>
              <w:ind w:firstLine="0" w:firstLineChars="0"/>
              <w:rPr>
                <w:rFonts w:ascii="Times New Roman" w:hAnsi="Times New Roman" w:cs="宋体"/>
                <w:sz w:val="24"/>
                <w:szCs w:val="24"/>
              </w:rPr>
            </w:pPr>
            <w:r>
              <w:rPr>
                <w:rFonts w:hint="eastAsia" w:ascii="Times New Roman" w:hAnsi="Times New Roman" w:cs="宋体"/>
                <w:sz w:val="24"/>
                <w:szCs w:val="24"/>
              </w:rPr>
              <w:t>用户需要按照使用手册的要求进行使用，儿童手部X射线影像处理软件为网页产品不需要预期安装。</w:t>
            </w:r>
          </w:p>
        </w:tc>
        <w:tc>
          <w:tcPr>
            <w:tcW w:w="648" w:type="pct"/>
          </w:tcPr>
          <w:p>
            <w:pPr>
              <w:pStyle w:val="43"/>
              <w:ind w:firstLine="0" w:firstLineChars="0"/>
              <w:rPr>
                <w:rFonts w:ascii="Times New Roman" w:hAnsi="Times New Roman" w:cs="宋体"/>
                <w:sz w:val="24"/>
                <w:szCs w:val="24"/>
              </w:rPr>
            </w:pPr>
            <w:r>
              <w:rPr>
                <w:rFonts w:ascii="Times New Roman" w:hAnsi="Times New Roman" w:cs="宋体"/>
                <w:sz w:val="24"/>
              </w:rPr>
              <w:t>操作危害（</w:t>
            </w:r>
            <w:r>
              <w:rPr>
                <w:rFonts w:ascii="Times New Roman" w:hAnsi="Times New Roman"/>
                <w:sz w:val="24"/>
              </w:rPr>
              <w:t>H</w:t>
            </w:r>
            <w:r>
              <w:rPr>
                <w:rFonts w:hint="eastAsia" w:ascii="Times New Roman" w:hAnsi="Times New Roman"/>
                <w:sz w:val="24"/>
              </w:rPr>
              <w:t>3</w:t>
            </w:r>
            <w:r>
              <w:rPr>
                <w:rFonts w:ascii="Times New Roman" w:hAnsi="Times New Roman" w:cs="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2256" w:type="pct"/>
          </w:tcPr>
          <w:p>
            <w:pPr>
              <w:rPr>
                <w:rFonts w:cs="宋体"/>
                <w:sz w:val="24"/>
              </w:rPr>
            </w:pPr>
            <w:r>
              <w:rPr>
                <w:rFonts w:hint="eastAsia" w:cs="宋体"/>
                <w:sz w:val="24"/>
              </w:rPr>
              <w:t>C.2.20 医疗器械是否有贮存寿命限制？</w:t>
            </w:r>
          </w:p>
          <w:p>
            <w:pPr>
              <w:rPr>
                <w:rFonts w:cs="宋体"/>
                <w:sz w:val="24"/>
              </w:rPr>
            </w:pPr>
            <w:r>
              <w:rPr>
                <w:rFonts w:hint="eastAsia" w:cs="宋体"/>
                <w:sz w:val="24"/>
              </w:rPr>
              <w:t>宜考虑的因素包括标记或指示和到期时对医疗器械的处置。</w:t>
            </w:r>
          </w:p>
        </w:tc>
        <w:tc>
          <w:tcPr>
            <w:tcW w:w="493" w:type="pct"/>
          </w:tcPr>
          <w:p>
            <w:pPr>
              <w:rPr>
                <w:rFonts w:cs="宋体"/>
                <w:sz w:val="24"/>
              </w:rPr>
            </w:pPr>
            <w:r>
              <w:rPr>
                <w:rFonts w:hint="eastAsia" w:cs="宋体"/>
                <w:sz w:val="24"/>
              </w:rPr>
              <w:t>否</w:t>
            </w:r>
          </w:p>
        </w:tc>
        <w:tc>
          <w:tcPr>
            <w:tcW w:w="1601" w:type="pct"/>
          </w:tcPr>
          <w:p>
            <w:pPr>
              <w:rPr>
                <w:rFonts w:cs="宋体"/>
                <w:sz w:val="24"/>
              </w:rPr>
            </w:pPr>
            <w:r>
              <w:rPr>
                <w:rFonts w:hint="eastAsia" w:cs="宋体"/>
                <w:sz w:val="24"/>
              </w:rPr>
              <w:t>/</w:t>
            </w:r>
          </w:p>
        </w:tc>
        <w:tc>
          <w:tcPr>
            <w:tcW w:w="648" w:type="pct"/>
          </w:tcPr>
          <w:p>
            <w:pPr>
              <w:rPr>
                <w:rFonts w:cs="宋体"/>
                <w:sz w:val="24"/>
              </w:rPr>
            </w:pPr>
            <w:r>
              <w:rPr>
                <w:rFonts w:hint="eastAsia" w:cs="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2256" w:type="pct"/>
          </w:tcPr>
          <w:p>
            <w:pPr>
              <w:rPr>
                <w:rFonts w:cs="宋体"/>
                <w:sz w:val="24"/>
              </w:rPr>
            </w:pPr>
            <w:r>
              <w:rPr>
                <w:rFonts w:hint="eastAsia" w:cs="宋体"/>
                <w:sz w:val="24"/>
              </w:rPr>
              <w:t>C.2.21 是否有延时或长期使用效应？</w:t>
            </w:r>
          </w:p>
          <w:p>
            <w:pPr>
              <w:rPr>
                <w:rFonts w:cs="宋体"/>
                <w:sz w:val="24"/>
              </w:rPr>
            </w:pPr>
            <w:r>
              <w:rPr>
                <w:rFonts w:hint="eastAsia" w:cs="宋体"/>
                <w:sz w:val="24"/>
              </w:rPr>
              <w:t>宜考虑的因素包括人机工程学和累积的效应。其示例可包括含盐流体泵会随着时间的推移的腐蚀、机械疲劳、皮带和附件松动、振动效应、标签磨损或脱落、长期材料降解。</w:t>
            </w:r>
          </w:p>
        </w:tc>
        <w:tc>
          <w:tcPr>
            <w:tcW w:w="493" w:type="pct"/>
          </w:tcPr>
          <w:p>
            <w:pPr>
              <w:rPr>
                <w:rFonts w:cs="宋体"/>
                <w:sz w:val="24"/>
              </w:rPr>
            </w:pPr>
            <w:r>
              <w:rPr>
                <w:rFonts w:hint="eastAsia" w:cs="宋体"/>
                <w:sz w:val="24"/>
              </w:rPr>
              <w:t>否</w:t>
            </w:r>
          </w:p>
        </w:tc>
        <w:tc>
          <w:tcPr>
            <w:tcW w:w="1601" w:type="pct"/>
          </w:tcPr>
          <w:p>
            <w:pPr>
              <w:rPr>
                <w:rFonts w:cs="宋体"/>
                <w:sz w:val="24"/>
              </w:rPr>
            </w:pPr>
            <w:r>
              <w:rPr>
                <w:rFonts w:hint="eastAsia" w:cs="宋体"/>
                <w:sz w:val="24"/>
              </w:rPr>
              <w:t>/</w:t>
            </w:r>
          </w:p>
        </w:tc>
        <w:tc>
          <w:tcPr>
            <w:tcW w:w="648" w:type="pct"/>
          </w:tcPr>
          <w:p>
            <w:pPr>
              <w:rPr>
                <w:rFonts w:cs="宋体"/>
                <w:sz w:val="24"/>
              </w:rPr>
            </w:pPr>
            <w:r>
              <w:rPr>
                <w:rFonts w:hint="eastAsia" w:cs="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2256" w:type="pct"/>
          </w:tcPr>
          <w:p>
            <w:pPr>
              <w:rPr>
                <w:rFonts w:cs="宋体"/>
                <w:sz w:val="24"/>
              </w:rPr>
            </w:pPr>
            <w:r>
              <w:rPr>
                <w:rFonts w:hint="eastAsia" w:cs="宋体"/>
                <w:sz w:val="24"/>
              </w:rPr>
              <w:t>C.2.22 医疗器械承受何种机械力？</w:t>
            </w:r>
          </w:p>
          <w:p>
            <w:pPr>
              <w:rPr>
                <w:rFonts w:cs="宋体"/>
                <w:sz w:val="24"/>
              </w:rPr>
            </w:pPr>
            <w:r>
              <w:rPr>
                <w:rFonts w:hint="eastAsia" w:cs="宋体"/>
                <w:sz w:val="24"/>
              </w:rPr>
              <w:t>宜考虑的因素包括医疗器械承受的力是否在使用者的控制之下，或者由和其他人员的相互作用来控制。</w:t>
            </w:r>
          </w:p>
        </w:tc>
        <w:tc>
          <w:tcPr>
            <w:tcW w:w="493" w:type="pct"/>
          </w:tcPr>
          <w:p>
            <w:pPr>
              <w:rPr>
                <w:rFonts w:cs="宋体"/>
                <w:sz w:val="24"/>
              </w:rPr>
            </w:pPr>
            <w:r>
              <w:rPr>
                <w:rFonts w:hint="eastAsia" w:cs="宋体"/>
                <w:sz w:val="24"/>
              </w:rPr>
              <w:t>否</w:t>
            </w:r>
          </w:p>
        </w:tc>
        <w:tc>
          <w:tcPr>
            <w:tcW w:w="1601" w:type="pct"/>
          </w:tcPr>
          <w:p>
            <w:pPr>
              <w:rPr>
                <w:rFonts w:cs="宋体"/>
                <w:sz w:val="24"/>
              </w:rPr>
            </w:pPr>
            <w:r>
              <w:rPr>
                <w:rFonts w:hint="eastAsia" w:cs="宋体"/>
                <w:sz w:val="24"/>
              </w:rPr>
              <w:t>/</w:t>
            </w:r>
          </w:p>
        </w:tc>
        <w:tc>
          <w:tcPr>
            <w:tcW w:w="648" w:type="pct"/>
          </w:tcPr>
          <w:p>
            <w:pPr>
              <w:rPr>
                <w:rFonts w:cs="宋体"/>
                <w:sz w:val="24"/>
              </w:rPr>
            </w:pPr>
            <w:r>
              <w:rPr>
                <w:rFonts w:hint="eastAsia" w:cs="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2256" w:type="pct"/>
          </w:tcPr>
          <w:p>
            <w:pPr>
              <w:rPr>
                <w:rFonts w:cs="宋体"/>
                <w:sz w:val="24"/>
              </w:rPr>
            </w:pPr>
            <w:r>
              <w:rPr>
                <w:rFonts w:hint="eastAsia" w:cs="宋体"/>
                <w:sz w:val="24"/>
              </w:rPr>
              <w:t>C.2.23 什么决定医疗器械的寿命？</w:t>
            </w:r>
          </w:p>
          <w:p>
            <w:pPr>
              <w:rPr>
                <w:rFonts w:cs="宋体"/>
                <w:sz w:val="24"/>
              </w:rPr>
            </w:pPr>
            <w:r>
              <w:rPr>
                <w:rFonts w:hint="eastAsia" w:cs="宋体"/>
                <w:sz w:val="24"/>
              </w:rPr>
              <w:t>宜考虑的因素包括老化和电池耗尽。</w:t>
            </w:r>
          </w:p>
        </w:tc>
        <w:tc>
          <w:tcPr>
            <w:tcW w:w="493" w:type="pct"/>
          </w:tcPr>
          <w:p>
            <w:pPr>
              <w:rPr>
                <w:rFonts w:cs="宋体"/>
                <w:sz w:val="24"/>
              </w:rPr>
            </w:pPr>
            <w:r>
              <w:rPr>
                <w:rFonts w:hint="eastAsia" w:cs="宋体"/>
                <w:sz w:val="24"/>
              </w:rPr>
              <w:t>否</w:t>
            </w:r>
          </w:p>
        </w:tc>
        <w:tc>
          <w:tcPr>
            <w:tcW w:w="1601" w:type="pct"/>
          </w:tcPr>
          <w:p>
            <w:pPr>
              <w:rPr>
                <w:rFonts w:cs="宋体"/>
                <w:sz w:val="24"/>
              </w:rPr>
            </w:pPr>
            <w:r>
              <w:rPr>
                <w:rFonts w:hint="eastAsia" w:cs="宋体"/>
                <w:sz w:val="24"/>
              </w:rPr>
              <w:t>/</w:t>
            </w:r>
          </w:p>
        </w:tc>
        <w:tc>
          <w:tcPr>
            <w:tcW w:w="648" w:type="pct"/>
          </w:tcPr>
          <w:p>
            <w:pPr>
              <w:rPr>
                <w:rFonts w:cs="宋体"/>
                <w:sz w:val="24"/>
              </w:rPr>
            </w:pPr>
            <w:r>
              <w:rPr>
                <w:rFonts w:hint="eastAsia" w:cs="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2256" w:type="pct"/>
          </w:tcPr>
          <w:p>
            <w:pPr>
              <w:rPr>
                <w:rFonts w:cs="宋体"/>
                <w:sz w:val="24"/>
              </w:rPr>
            </w:pPr>
            <w:r>
              <w:rPr>
                <w:rFonts w:hint="eastAsia" w:cs="宋体"/>
                <w:sz w:val="24"/>
              </w:rPr>
              <w:t>C.2.24 医疗器械是否预期一次性使用？</w:t>
            </w:r>
          </w:p>
          <w:p>
            <w:pPr>
              <w:rPr>
                <w:rFonts w:cs="宋体"/>
                <w:sz w:val="24"/>
              </w:rPr>
            </w:pPr>
            <w:r>
              <w:rPr>
                <w:rFonts w:hint="eastAsia" w:cs="宋体"/>
                <w:sz w:val="24"/>
              </w:rPr>
              <w:t>宜考虑的因素包括：器械使用后是否自毁？器械已使用过是否显而易见？</w:t>
            </w:r>
          </w:p>
        </w:tc>
        <w:tc>
          <w:tcPr>
            <w:tcW w:w="493" w:type="pct"/>
          </w:tcPr>
          <w:p>
            <w:pPr>
              <w:rPr>
                <w:rFonts w:cs="宋体"/>
                <w:sz w:val="24"/>
              </w:rPr>
            </w:pPr>
            <w:r>
              <w:rPr>
                <w:rFonts w:hint="eastAsia" w:cs="宋体"/>
                <w:sz w:val="24"/>
              </w:rPr>
              <w:t>否</w:t>
            </w:r>
          </w:p>
        </w:tc>
        <w:tc>
          <w:tcPr>
            <w:tcW w:w="1601" w:type="pct"/>
          </w:tcPr>
          <w:p>
            <w:pPr>
              <w:rPr>
                <w:rFonts w:cs="宋体"/>
                <w:sz w:val="24"/>
              </w:rPr>
            </w:pPr>
            <w:r>
              <w:rPr>
                <w:rFonts w:hint="eastAsia" w:cs="宋体"/>
                <w:sz w:val="24"/>
              </w:rPr>
              <w:t>/</w:t>
            </w:r>
          </w:p>
        </w:tc>
        <w:tc>
          <w:tcPr>
            <w:tcW w:w="648" w:type="pct"/>
          </w:tcPr>
          <w:p>
            <w:pPr>
              <w:rPr>
                <w:rFonts w:cs="宋体"/>
                <w:sz w:val="24"/>
              </w:rPr>
            </w:pPr>
            <w:r>
              <w:rPr>
                <w:rFonts w:hint="eastAsia" w:cs="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2256" w:type="pct"/>
          </w:tcPr>
          <w:p>
            <w:pPr>
              <w:rPr>
                <w:rFonts w:cs="宋体"/>
                <w:sz w:val="24"/>
              </w:rPr>
            </w:pPr>
            <w:r>
              <w:rPr>
                <w:rFonts w:hint="eastAsia" w:cs="宋体"/>
                <w:sz w:val="24"/>
              </w:rPr>
              <w:t>C.2.25 医疗器械是否需要安全地退出运行或处置？</w:t>
            </w:r>
          </w:p>
          <w:p>
            <w:pPr>
              <w:rPr>
                <w:rFonts w:cs="宋体"/>
                <w:sz w:val="24"/>
              </w:rPr>
            </w:pPr>
            <w:r>
              <w:rPr>
                <w:rFonts w:hint="eastAsia" w:cs="宋体"/>
                <w:sz w:val="24"/>
              </w:rPr>
              <w:t>宜考虑的因素包括医疗器械自身处置时产生的废物。例如医疗器械是否含有毒性或有害材料，或材料可再循环使用。</w:t>
            </w:r>
          </w:p>
        </w:tc>
        <w:tc>
          <w:tcPr>
            <w:tcW w:w="493" w:type="pct"/>
          </w:tcPr>
          <w:p>
            <w:pPr>
              <w:rPr>
                <w:rFonts w:cs="宋体"/>
                <w:sz w:val="24"/>
              </w:rPr>
            </w:pPr>
            <w:r>
              <w:rPr>
                <w:rFonts w:hint="eastAsia" w:cs="宋体"/>
                <w:sz w:val="24"/>
              </w:rPr>
              <w:t>否</w:t>
            </w:r>
          </w:p>
        </w:tc>
        <w:tc>
          <w:tcPr>
            <w:tcW w:w="1601" w:type="pct"/>
          </w:tcPr>
          <w:p>
            <w:pPr>
              <w:rPr>
                <w:rFonts w:cs="宋体"/>
                <w:sz w:val="24"/>
              </w:rPr>
            </w:pPr>
            <w:r>
              <w:rPr>
                <w:rFonts w:hint="eastAsia" w:cs="宋体"/>
                <w:sz w:val="24"/>
              </w:rPr>
              <w:t>/</w:t>
            </w:r>
          </w:p>
        </w:tc>
        <w:tc>
          <w:tcPr>
            <w:tcW w:w="648" w:type="pct"/>
          </w:tcPr>
          <w:p>
            <w:pPr>
              <w:rPr>
                <w:rFonts w:cs="宋体"/>
                <w:sz w:val="24"/>
              </w:rPr>
            </w:pPr>
            <w:r>
              <w:rPr>
                <w:rFonts w:hint="eastAsia" w:cs="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0" w:hRule="atLeast"/>
          <w:jc w:val="center"/>
        </w:trPr>
        <w:tc>
          <w:tcPr>
            <w:tcW w:w="2256" w:type="pct"/>
          </w:tcPr>
          <w:p>
            <w:pPr>
              <w:rPr>
                <w:rFonts w:cs="宋体"/>
                <w:sz w:val="24"/>
              </w:rPr>
            </w:pPr>
            <w:r>
              <w:rPr>
                <w:rFonts w:hint="eastAsia" w:cs="宋体"/>
                <w:sz w:val="24"/>
              </w:rPr>
              <w:t>C.2.26 医疗器械的安装或使用是否要求专门的培训或专门的技能？</w:t>
            </w:r>
          </w:p>
          <w:p>
            <w:pPr>
              <w:rPr>
                <w:rFonts w:cs="宋体"/>
                <w:sz w:val="24"/>
              </w:rPr>
            </w:pPr>
            <w:r>
              <w:rPr>
                <w:rFonts w:hint="eastAsia" w:cs="宋体"/>
                <w:sz w:val="24"/>
              </w:rPr>
              <w:t>宜考虑的因素包括医疗器械的新颖性，以及医疗器械安装人员合适的技能和培训。</w:t>
            </w:r>
          </w:p>
        </w:tc>
        <w:tc>
          <w:tcPr>
            <w:tcW w:w="493" w:type="pct"/>
          </w:tcPr>
          <w:p>
            <w:pPr>
              <w:pStyle w:val="43"/>
              <w:ind w:firstLine="0" w:firstLineChars="0"/>
              <w:rPr>
                <w:rFonts w:ascii="Times New Roman" w:hAnsi="Times New Roman" w:cs="宋体"/>
                <w:sz w:val="24"/>
                <w:szCs w:val="24"/>
              </w:rPr>
            </w:pPr>
            <w:r>
              <w:rPr>
                <w:rFonts w:hint="eastAsia" w:ascii="Times New Roman" w:hAnsi="Times New Roman" w:cs="宋体"/>
                <w:sz w:val="24"/>
                <w:szCs w:val="24"/>
              </w:rPr>
              <w:t>是</w:t>
            </w:r>
          </w:p>
        </w:tc>
        <w:tc>
          <w:tcPr>
            <w:tcW w:w="1601" w:type="pct"/>
          </w:tcPr>
          <w:p>
            <w:pPr>
              <w:pStyle w:val="43"/>
              <w:ind w:firstLine="0" w:firstLineChars="0"/>
              <w:rPr>
                <w:rFonts w:ascii="Times New Roman" w:hAnsi="Times New Roman" w:cs="宋体"/>
                <w:sz w:val="24"/>
                <w:szCs w:val="24"/>
              </w:rPr>
            </w:pPr>
            <w:r>
              <w:rPr>
                <w:rFonts w:hint="eastAsia" w:ascii="Times New Roman" w:hAnsi="Times New Roman" w:cs="宋体"/>
                <w:sz w:val="24"/>
                <w:szCs w:val="24"/>
              </w:rPr>
              <w:t>操作人员需要拥有专业知识或接受过专业的培训。</w:t>
            </w:r>
          </w:p>
          <w:p>
            <w:pPr>
              <w:pStyle w:val="43"/>
              <w:ind w:firstLine="0" w:firstLineChars="0"/>
              <w:rPr>
                <w:rFonts w:ascii="Times New Roman" w:hAnsi="Times New Roman" w:cs="宋体"/>
                <w:sz w:val="24"/>
                <w:szCs w:val="24"/>
              </w:rPr>
            </w:pPr>
            <w:r>
              <w:rPr>
                <w:rFonts w:hint="eastAsia" w:ascii="Times New Roman" w:hAnsi="Times New Roman" w:cs="宋体"/>
                <w:sz w:val="24"/>
                <w:szCs w:val="24"/>
              </w:rPr>
              <w:t>产品无需安装</w:t>
            </w:r>
          </w:p>
        </w:tc>
        <w:tc>
          <w:tcPr>
            <w:tcW w:w="648" w:type="pct"/>
          </w:tcPr>
          <w:p>
            <w:pPr>
              <w:pStyle w:val="43"/>
              <w:ind w:firstLine="0" w:firstLineChars="0"/>
              <w:rPr>
                <w:rFonts w:ascii="Times New Roman" w:hAnsi="Times New Roman" w:cs="宋体"/>
                <w:sz w:val="24"/>
                <w:szCs w:val="24"/>
              </w:rPr>
            </w:pPr>
            <w:r>
              <w:rPr>
                <w:rFonts w:hint="eastAsia" w:ascii="Times New Roman" w:hAnsi="Times New Roman" w:cs="宋体"/>
                <w:sz w:val="24"/>
                <w:szCs w:val="24"/>
              </w:rPr>
              <w:t>信息危害H4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2256" w:type="pct"/>
          </w:tcPr>
          <w:p>
            <w:pPr>
              <w:rPr>
                <w:rFonts w:cs="宋体"/>
                <w:sz w:val="24"/>
              </w:rPr>
            </w:pPr>
            <w:r>
              <w:rPr>
                <w:rFonts w:hint="eastAsia" w:cs="宋体"/>
                <w:sz w:val="24"/>
              </w:rPr>
              <w:t>C.2.27 如何提供安全使用信息？</w:t>
            </w:r>
          </w:p>
          <w:p>
            <w:pPr>
              <w:rPr>
                <w:rFonts w:cs="宋体"/>
                <w:sz w:val="24"/>
              </w:rPr>
            </w:pPr>
            <w:r>
              <w:rPr>
                <w:rFonts w:hint="eastAsia" w:cs="宋体"/>
                <w:sz w:val="24"/>
              </w:rPr>
              <w:t>宜考虑的因素包括：</w:t>
            </w:r>
          </w:p>
          <w:p>
            <w:pPr>
              <w:rPr>
                <w:rFonts w:cs="宋体"/>
                <w:sz w:val="24"/>
              </w:rPr>
            </w:pPr>
            <w:r>
              <w:rPr>
                <w:rFonts w:hint="eastAsia" w:cs="宋体"/>
                <w:sz w:val="24"/>
              </w:rPr>
              <w:t>—信息是否由制造商直接提供给最终使用者或涉及的第三方参加者，如安装者、护理者、医疗卫生保健专家或药剂师，他们是否需要进行培训；</w:t>
            </w:r>
          </w:p>
          <w:p>
            <w:pPr>
              <w:rPr>
                <w:rFonts w:cs="宋体"/>
                <w:sz w:val="24"/>
              </w:rPr>
            </w:pPr>
            <w:r>
              <w:rPr>
                <w:rFonts w:hint="eastAsia" w:cs="宋体"/>
                <w:sz w:val="24"/>
              </w:rPr>
              <w:t>—试运行和向最终使用者的交付，以及是否很可能/可能由不具备必要技能的人员来安装；</w:t>
            </w:r>
          </w:p>
          <w:p>
            <w:pPr>
              <w:rPr>
                <w:rFonts w:cs="宋体"/>
                <w:sz w:val="24"/>
              </w:rPr>
            </w:pPr>
            <w:r>
              <w:rPr>
                <w:rFonts w:hint="eastAsia" w:cs="宋体"/>
                <w:sz w:val="24"/>
              </w:rPr>
              <w:t>—基于医疗器械的预期寿命，是要求对操作者或服务人员进行再培训还是再鉴定。</w:t>
            </w:r>
          </w:p>
        </w:tc>
        <w:tc>
          <w:tcPr>
            <w:tcW w:w="493" w:type="pct"/>
          </w:tcPr>
          <w:p>
            <w:pPr>
              <w:pStyle w:val="43"/>
              <w:ind w:firstLine="0" w:firstLineChars="0"/>
              <w:rPr>
                <w:rFonts w:ascii="Times New Roman" w:hAnsi="Times New Roman" w:cs="宋体"/>
                <w:sz w:val="24"/>
                <w:szCs w:val="24"/>
              </w:rPr>
            </w:pPr>
            <w:r>
              <w:rPr>
                <w:rFonts w:hint="eastAsia" w:ascii="Times New Roman" w:hAnsi="Times New Roman" w:cs="宋体"/>
                <w:sz w:val="24"/>
                <w:szCs w:val="24"/>
              </w:rPr>
              <w:t>是</w:t>
            </w:r>
          </w:p>
        </w:tc>
        <w:tc>
          <w:tcPr>
            <w:tcW w:w="1601" w:type="pct"/>
          </w:tcPr>
          <w:p>
            <w:pPr>
              <w:pStyle w:val="43"/>
              <w:ind w:firstLine="0" w:firstLineChars="0"/>
              <w:rPr>
                <w:rFonts w:ascii="Times New Roman" w:hAnsi="Times New Roman" w:cs="宋体"/>
                <w:sz w:val="24"/>
                <w:szCs w:val="24"/>
              </w:rPr>
            </w:pPr>
            <w:r>
              <w:rPr>
                <w:rFonts w:hint="eastAsia" w:ascii="Times New Roman" w:hAnsi="Times New Roman" w:cs="宋体"/>
                <w:sz w:val="24"/>
                <w:szCs w:val="24"/>
              </w:rPr>
              <w:t>在使用说明书、安装说明书、标贴、等中提供了安全信息。使用者需要按照要求操作。</w:t>
            </w:r>
          </w:p>
        </w:tc>
        <w:tc>
          <w:tcPr>
            <w:tcW w:w="648" w:type="pct"/>
          </w:tcPr>
          <w:p>
            <w:pPr>
              <w:pStyle w:val="43"/>
              <w:ind w:firstLine="0" w:firstLineChars="0"/>
              <w:rPr>
                <w:rFonts w:ascii="Times New Roman" w:hAnsi="Times New Roman" w:cs="宋体"/>
                <w:sz w:val="24"/>
                <w:szCs w:val="24"/>
              </w:rPr>
            </w:pPr>
            <w:r>
              <w:rPr>
                <w:rFonts w:hint="eastAsia" w:ascii="Times New Roman" w:hAnsi="Times New Roman" w:cs="宋体"/>
                <w:sz w:val="24"/>
                <w:szCs w:val="24"/>
              </w:rPr>
              <w:t>信息危害H5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2256" w:type="pct"/>
          </w:tcPr>
          <w:p>
            <w:pPr>
              <w:rPr>
                <w:rFonts w:cs="宋体"/>
                <w:sz w:val="24"/>
              </w:rPr>
            </w:pPr>
            <w:r>
              <w:rPr>
                <w:rFonts w:hint="eastAsia" w:cs="宋体"/>
                <w:sz w:val="24"/>
              </w:rPr>
              <w:t>C.2.28 是否需要建立或引入新的制造过程？</w:t>
            </w:r>
          </w:p>
          <w:p>
            <w:pPr>
              <w:rPr>
                <w:rFonts w:cs="宋体"/>
                <w:sz w:val="24"/>
              </w:rPr>
            </w:pPr>
            <w:r>
              <w:rPr>
                <w:rFonts w:hint="eastAsia" w:cs="宋体"/>
                <w:sz w:val="24"/>
              </w:rPr>
              <w:t>宜考虑的因素包括新技术或新的生产规模。</w:t>
            </w:r>
          </w:p>
        </w:tc>
        <w:tc>
          <w:tcPr>
            <w:tcW w:w="493" w:type="pct"/>
          </w:tcPr>
          <w:p>
            <w:pPr>
              <w:rPr>
                <w:rFonts w:cs="宋体"/>
                <w:sz w:val="24"/>
              </w:rPr>
            </w:pPr>
            <w:r>
              <w:rPr>
                <w:rFonts w:hint="eastAsia" w:cs="宋体"/>
                <w:sz w:val="24"/>
              </w:rPr>
              <w:t>否</w:t>
            </w:r>
          </w:p>
        </w:tc>
        <w:tc>
          <w:tcPr>
            <w:tcW w:w="1601" w:type="pct"/>
          </w:tcPr>
          <w:p>
            <w:pPr>
              <w:rPr>
                <w:rFonts w:cs="宋体"/>
                <w:sz w:val="24"/>
              </w:rPr>
            </w:pPr>
            <w:r>
              <w:rPr>
                <w:rFonts w:hint="eastAsia" w:cs="宋体"/>
                <w:sz w:val="24"/>
              </w:rPr>
              <w:t>/</w:t>
            </w:r>
          </w:p>
        </w:tc>
        <w:tc>
          <w:tcPr>
            <w:tcW w:w="648" w:type="pct"/>
          </w:tcPr>
          <w:p>
            <w:pPr>
              <w:rPr>
                <w:rFonts w:cs="宋体"/>
                <w:sz w:val="24"/>
              </w:rPr>
            </w:pPr>
            <w:r>
              <w:rPr>
                <w:rFonts w:hint="eastAsia" w:cs="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2256" w:type="pct"/>
          </w:tcPr>
          <w:p>
            <w:pPr>
              <w:rPr>
                <w:rFonts w:cs="宋体"/>
                <w:sz w:val="24"/>
              </w:rPr>
            </w:pPr>
            <w:r>
              <w:rPr>
                <w:rFonts w:hint="eastAsia" w:cs="宋体"/>
                <w:sz w:val="24"/>
              </w:rPr>
              <w:t>C.2.29 医疗器械的成功使用，是否关键取决于人为因素，例如用户接口？</w:t>
            </w:r>
          </w:p>
        </w:tc>
        <w:tc>
          <w:tcPr>
            <w:tcW w:w="493" w:type="pct"/>
          </w:tcPr>
          <w:p>
            <w:pPr>
              <w:pStyle w:val="43"/>
              <w:ind w:firstLine="0" w:firstLineChars="0"/>
              <w:rPr>
                <w:rFonts w:ascii="Times New Roman" w:hAnsi="Times New Roman" w:cs="宋体"/>
                <w:sz w:val="24"/>
                <w:szCs w:val="24"/>
              </w:rPr>
            </w:pPr>
            <w:r>
              <w:rPr>
                <w:rFonts w:hint="eastAsia" w:ascii="Times New Roman" w:hAnsi="Times New Roman" w:cs="宋体"/>
                <w:sz w:val="24"/>
                <w:szCs w:val="24"/>
              </w:rPr>
              <w:t>是</w:t>
            </w:r>
          </w:p>
        </w:tc>
        <w:tc>
          <w:tcPr>
            <w:tcW w:w="1601" w:type="pct"/>
          </w:tcPr>
          <w:p>
            <w:pPr>
              <w:pStyle w:val="43"/>
              <w:ind w:firstLine="0" w:firstLineChars="0"/>
              <w:rPr>
                <w:rFonts w:ascii="Times New Roman" w:hAnsi="Times New Roman" w:cs="宋体"/>
                <w:sz w:val="24"/>
                <w:szCs w:val="24"/>
              </w:rPr>
            </w:pPr>
            <w:r>
              <w:rPr>
                <w:rFonts w:hint="eastAsia" w:ascii="Times New Roman" w:hAnsi="Times New Roman" w:cs="宋体"/>
                <w:sz w:val="24"/>
                <w:szCs w:val="24"/>
              </w:rPr>
              <w:t>软件的成功使用需要专业人员对数据输入信息正确，操作步骤正确等。</w:t>
            </w:r>
          </w:p>
        </w:tc>
        <w:tc>
          <w:tcPr>
            <w:tcW w:w="648" w:type="pct"/>
          </w:tcPr>
          <w:p>
            <w:pPr>
              <w:pStyle w:val="43"/>
              <w:ind w:firstLine="0" w:firstLineChars="0"/>
              <w:rPr>
                <w:rFonts w:ascii="Times New Roman" w:hAnsi="Times New Roman" w:cs="宋体"/>
                <w:sz w:val="24"/>
                <w:szCs w:val="24"/>
              </w:rPr>
            </w:pPr>
            <w:r>
              <w:rPr>
                <w:rFonts w:hint="eastAsia" w:ascii="Times New Roman" w:hAnsi="Times New Roman" w:cs="宋体"/>
                <w:sz w:val="24"/>
              </w:rPr>
              <w:t>信息</w:t>
            </w:r>
            <w:r>
              <w:rPr>
                <w:rFonts w:ascii="Times New Roman" w:hAnsi="Times New Roman" w:cs="宋体"/>
                <w:sz w:val="24"/>
              </w:rPr>
              <w:t>危害（</w:t>
            </w:r>
            <w:r>
              <w:rPr>
                <w:rFonts w:ascii="Times New Roman" w:hAnsi="Times New Roman"/>
                <w:sz w:val="24"/>
              </w:rPr>
              <w:t>H</w:t>
            </w:r>
            <w:r>
              <w:rPr>
                <w:rFonts w:hint="eastAsia" w:ascii="Times New Roman" w:hAnsi="Times New Roman"/>
                <w:sz w:val="24"/>
              </w:rPr>
              <w:t>6</w:t>
            </w:r>
            <w:r>
              <w:rPr>
                <w:rFonts w:ascii="Times New Roman" w:hAnsi="Times New Roman" w:cs="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2256" w:type="pct"/>
          </w:tcPr>
          <w:p>
            <w:pPr>
              <w:rPr>
                <w:rFonts w:cs="宋体"/>
                <w:sz w:val="24"/>
              </w:rPr>
            </w:pPr>
            <w:r>
              <w:rPr>
                <w:rFonts w:hint="eastAsia" w:cs="宋体"/>
                <w:sz w:val="24"/>
              </w:rPr>
              <w:t>C.2.29.1 用户接口设计特性是否可能促成使用错误？</w:t>
            </w:r>
          </w:p>
          <w:p>
            <w:pPr>
              <w:rPr>
                <w:rFonts w:cs="宋体"/>
                <w:sz w:val="24"/>
              </w:rPr>
            </w:pPr>
            <w:r>
              <w:rPr>
                <w:rFonts w:hint="eastAsia" w:cs="宋体"/>
                <w:sz w:val="24"/>
              </w:rPr>
              <w:t>宜考虑的因素是可能促成使用错误的用户接口设计特征。接口设计特性的示例包括：控制器和指示器、所使用的符号、人机工程学特性、物理设计和布局、操作层级、驱动装置的软件菜单、警示的可视性、报警的可听性、彩标编码的标准化。可用性的附加指南见IEC 60601-1-6[25]，报警的附加指南见60601-1-8[26]</w:t>
            </w:r>
          </w:p>
        </w:tc>
        <w:tc>
          <w:tcPr>
            <w:tcW w:w="493" w:type="pct"/>
          </w:tcPr>
          <w:p>
            <w:pPr>
              <w:pStyle w:val="43"/>
              <w:ind w:firstLine="0" w:firstLineChars="0"/>
              <w:rPr>
                <w:rFonts w:ascii="Times New Roman" w:hAnsi="Times New Roman" w:cs="宋体"/>
                <w:sz w:val="24"/>
                <w:szCs w:val="24"/>
              </w:rPr>
            </w:pPr>
            <w:r>
              <w:rPr>
                <w:rFonts w:hint="eastAsia" w:ascii="Times New Roman" w:hAnsi="Times New Roman" w:cs="宋体"/>
                <w:sz w:val="24"/>
                <w:szCs w:val="24"/>
              </w:rPr>
              <w:t>是</w:t>
            </w:r>
          </w:p>
        </w:tc>
        <w:tc>
          <w:tcPr>
            <w:tcW w:w="1601" w:type="pct"/>
          </w:tcPr>
          <w:p>
            <w:pPr>
              <w:pStyle w:val="43"/>
              <w:ind w:firstLine="0" w:firstLineChars="0"/>
              <w:rPr>
                <w:rFonts w:ascii="Times New Roman" w:hAnsi="Times New Roman" w:cs="宋体"/>
                <w:sz w:val="24"/>
                <w:szCs w:val="24"/>
              </w:rPr>
            </w:pPr>
            <w:r>
              <w:rPr>
                <w:rFonts w:hint="eastAsia" w:ascii="Times New Roman" w:hAnsi="Times New Roman" w:cs="宋体"/>
                <w:sz w:val="24"/>
                <w:szCs w:val="24"/>
              </w:rPr>
              <w:t>用户可能没有详细阅读用户手册或错误理解软件的部分功能</w:t>
            </w:r>
          </w:p>
        </w:tc>
        <w:tc>
          <w:tcPr>
            <w:tcW w:w="648" w:type="pct"/>
          </w:tcPr>
          <w:p>
            <w:pPr>
              <w:pStyle w:val="43"/>
              <w:ind w:firstLine="0" w:firstLineChars="0"/>
              <w:rPr>
                <w:rFonts w:ascii="Times New Roman" w:hAnsi="Times New Roman" w:cs="宋体"/>
                <w:sz w:val="24"/>
                <w:szCs w:val="24"/>
              </w:rPr>
            </w:pPr>
            <w:r>
              <w:rPr>
                <w:rFonts w:hint="eastAsia" w:ascii="Times New Roman" w:hAnsi="Times New Roman" w:cs="宋体"/>
                <w:sz w:val="24"/>
              </w:rPr>
              <w:t>信息</w:t>
            </w:r>
            <w:r>
              <w:rPr>
                <w:rFonts w:ascii="Times New Roman" w:hAnsi="Times New Roman" w:cs="宋体"/>
                <w:sz w:val="24"/>
              </w:rPr>
              <w:t>危害（</w:t>
            </w:r>
            <w:r>
              <w:rPr>
                <w:rFonts w:ascii="Times New Roman" w:hAnsi="Times New Roman"/>
                <w:sz w:val="24"/>
              </w:rPr>
              <w:t>H</w:t>
            </w:r>
            <w:r>
              <w:rPr>
                <w:rFonts w:hint="eastAsia" w:ascii="Times New Roman" w:hAnsi="Times New Roman"/>
                <w:sz w:val="24"/>
              </w:rPr>
              <w:t>7</w:t>
            </w:r>
            <w:r>
              <w:rPr>
                <w:rFonts w:ascii="Times New Roman" w:hAnsi="Times New Roman" w:cs="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2256" w:type="pct"/>
          </w:tcPr>
          <w:p>
            <w:pPr>
              <w:rPr>
                <w:rFonts w:cs="宋体"/>
                <w:sz w:val="24"/>
              </w:rPr>
            </w:pPr>
            <w:r>
              <w:rPr>
                <w:rFonts w:hint="eastAsia" w:cs="宋体"/>
                <w:sz w:val="24"/>
              </w:rPr>
              <w:t>C.2.29.2 医疗器械是否在因分散注意力而导致使用错误的环境中使用？</w:t>
            </w:r>
          </w:p>
          <w:p>
            <w:pPr>
              <w:rPr>
                <w:rFonts w:cs="宋体"/>
                <w:sz w:val="24"/>
              </w:rPr>
            </w:pPr>
            <w:r>
              <w:rPr>
                <w:rFonts w:hint="eastAsia" w:cs="宋体"/>
                <w:sz w:val="24"/>
              </w:rPr>
              <w:t>宜考虑的因素包括：</w:t>
            </w:r>
          </w:p>
          <w:p>
            <w:pPr>
              <w:rPr>
                <w:rFonts w:cs="宋体"/>
                <w:sz w:val="24"/>
              </w:rPr>
            </w:pPr>
            <w:r>
              <w:rPr>
                <w:rFonts w:hint="eastAsia" w:cs="宋体"/>
                <w:sz w:val="24"/>
              </w:rPr>
              <w:t>—使用错误的后果；</w:t>
            </w:r>
          </w:p>
          <w:p>
            <w:pPr>
              <w:rPr>
                <w:rFonts w:cs="宋体"/>
                <w:sz w:val="24"/>
              </w:rPr>
            </w:pPr>
            <w:r>
              <w:rPr>
                <w:rFonts w:hint="eastAsia" w:cs="宋体"/>
                <w:sz w:val="24"/>
              </w:rPr>
              <w:t>—分散注意力的情况是否常见；</w:t>
            </w:r>
          </w:p>
          <w:p>
            <w:pPr>
              <w:rPr>
                <w:rFonts w:cs="宋体"/>
                <w:sz w:val="24"/>
              </w:rPr>
            </w:pPr>
            <w:r>
              <w:rPr>
                <w:rFonts w:hint="eastAsia" w:cs="宋体"/>
                <w:sz w:val="24"/>
              </w:rPr>
              <w:t>—使用者是否可能受到不常见的分散注意力情况的干扰。</w:t>
            </w:r>
          </w:p>
        </w:tc>
        <w:tc>
          <w:tcPr>
            <w:tcW w:w="493" w:type="pct"/>
          </w:tcPr>
          <w:p>
            <w:pPr>
              <w:rPr>
                <w:rFonts w:cs="宋体"/>
                <w:sz w:val="24"/>
              </w:rPr>
            </w:pPr>
            <w:r>
              <w:rPr>
                <w:rFonts w:hint="eastAsia" w:cs="宋体"/>
                <w:sz w:val="24"/>
              </w:rPr>
              <w:t>否</w:t>
            </w:r>
          </w:p>
        </w:tc>
        <w:tc>
          <w:tcPr>
            <w:tcW w:w="1601" w:type="pct"/>
          </w:tcPr>
          <w:p>
            <w:pPr>
              <w:rPr>
                <w:rFonts w:cs="宋体"/>
                <w:sz w:val="24"/>
              </w:rPr>
            </w:pPr>
            <w:r>
              <w:rPr>
                <w:rFonts w:hint="eastAsia" w:cs="宋体"/>
                <w:sz w:val="24"/>
              </w:rPr>
              <w:t>/</w:t>
            </w:r>
          </w:p>
        </w:tc>
        <w:tc>
          <w:tcPr>
            <w:tcW w:w="648" w:type="pct"/>
          </w:tcPr>
          <w:p>
            <w:pPr>
              <w:rPr>
                <w:rFonts w:cs="宋体"/>
                <w:sz w:val="24"/>
              </w:rPr>
            </w:pPr>
            <w:r>
              <w:rPr>
                <w:rFonts w:hint="eastAsia" w:cs="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2256" w:type="pct"/>
          </w:tcPr>
          <w:p>
            <w:pPr>
              <w:rPr>
                <w:rFonts w:cs="宋体"/>
                <w:sz w:val="24"/>
              </w:rPr>
            </w:pPr>
            <w:r>
              <w:rPr>
                <w:rFonts w:hint="eastAsia" w:cs="宋体"/>
                <w:sz w:val="24"/>
              </w:rPr>
              <w:t>C.2.29.3 医疗器械是否有连接部分或附件？</w:t>
            </w:r>
          </w:p>
          <w:p>
            <w:pPr>
              <w:rPr>
                <w:rFonts w:cs="宋体"/>
                <w:sz w:val="24"/>
              </w:rPr>
            </w:pPr>
            <w:r>
              <w:rPr>
                <w:rFonts w:hint="eastAsia" w:cs="宋体"/>
                <w:sz w:val="24"/>
              </w:rPr>
              <w:t>宜考虑的因素包括错误连接的可能性、与其他的产品连接方式的相似性、连接力、对连接完整性的反馈以及过紧和过松的连接。</w:t>
            </w:r>
          </w:p>
        </w:tc>
        <w:tc>
          <w:tcPr>
            <w:tcW w:w="493" w:type="pct"/>
          </w:tcPr>
          <w:p>
            <w:pPr>
              <w:rPr>
                <w:rFonts w:cs="宋体"/>
                <w:sz w:val="24"/>
              </w:rPr>
            </w:pPr>
            <w:r>
              <w:rPr>
                <w:rFonts w:hint="eastAsia" w:cs="宋体"/>
                <w:sz w:val="24"/>
              </w:rPr>
              <w:t>否</w:t>
            </w:r>
          </w:p>
        </w:tc>
        <w:tc>
          <w:tcPr>
            <w:tcW w:w="1601" w:type="pct"/>
          </w:tcPr>
          <w:p>
            <w:pPr>
              <w:rPr>
                <w:rFonts w:cs="宋体"/>
                <w:sz w:val="24"/>
              </w:rPr>
            </w:pPr>
            <w:r>
              <w:rPr>
                <w:rFonts w:hint="eastAsia" w:cs="宋体"/>
                <w:sz w:val="24"/>
              </w:rPr>
              <w:t>/</w:t>
            </w:r>
          </w:p>
        </w:tc>
        <w:tc>
          <w:tcPr>
            <w:tcW w:w="648" w:type="pct"/>
          </w:tcPr>
          <w:p>
            <w:pPr>
              <w:rPr>
                <w:rFonts w:cs="宋体"/>
                <w:sz w:val="24"/>
              </w:rPr>
            </w:pPr>
            <w:r>
              <w:rPr>
                <w:rFonts w:hint="eastAsia" w:cs="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2256" w:type="pct"/>
          </w:tcPr>
          <w:p>
            <w:pPr>
              <w:rPr>
                <w:rFonts w:cs="宋体"/>
                <w:sz w:val="24"/>
              </w:rPr>
            </w:pPr>
            <w:r>
              <w:rPr>
                <w:rFonts w:hint="eastAsia" w:cs="宋体"/>
                <w:sz w:val="24"/>
              </w:rPr>
              <w:t>C.2.29.4 医疗器械是否有控制接口？</w:t>
            </w:r>
          </w:p>
          <w:p>
            <w:pPr>
              <w:rPr>
                <w:rFonts w:cs="宋体"/>
                <w:sz w:val="24"/>
              </w:rPr>
            </w:pPr>
            <w:r>
              <w:rPr>
                <w:rFonts w:hint="eastAsia" w:cs="宋体"/>
                <w:sz w:val="24"/>
              </w:rPr>
              <w:t>宜考虑的因素包括间隔、编码、分组、图形显示、反馈模式、出错、疏忽、控制差别、可视性、启动或变换的方向、控制是连续的还是断续的、以及设置或动作的可逆性。</w:t>
            </w:r>
          </w:p>
        </w:tc>
        <w:tc>
          <w:tcPr>
            <w:tcW w:w="493" w:type="pct"/>
          </w:tcPr>
          <w:p>
            <w:pPr>
              <w:rPr>
                <w:rFonts w:cs="宋体"/>
                <w:sz w:val="24"/>
              </w:rPr>
            </w:pPr>
            <w:r>
              <w:rPr>
                <w:rFonts w:hint="eastAsia" w:cs="宋体"/>
                <w:sz w:val="24"/>
              </w:rPr>
              <w:t>否</w:t>
            </w:r>
          </w:p>
        </w:tc>
        <w:tc>
          <w:tcPr>
            <w:tcW w:w="1601" w:type="pct"/>
          </w:tcPr>
          <w:p>
            <w:pPr>
              <w:rPr>
                <w:rFonts w:cs="宋体"/>
                <w:sz w:val="24"/>
              </w:rPr>
            </w:pPr>
            <w:r>
              <w:rPr>
                <w:rFonts w:hint="eastAsia" w:cs="宋体"/>
                <w:sz w:val="24"/>
              </w:rPr>
              <w:t>/</w:t>
            </w:r>
          </w:p>
        </w:tc>
        <w:tc>
          <w:tcPr>
            <w:tcW w:w="648" w:type="pct"/>
          </w:tcPr>
          <w:p>
            <w:pPr>
              <w:rPr>
                <w:rFonts w:cs="宋体"/>
                <w:sz w:val="24"/>
              </w:rPr>
            </w:pPr>
            <w:r>
              <w:rPr>
                <w:rFonts w:hint="eastAsia" w:cs="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2256" w:type="pct"/>
          </w:tcPr>
          <w:p>
            <w:pPr>
              <w:rPr>
                <w:rFonts w:cs="宋体"/>
                <w:sz w:val="24"/>
              </w:rPr>
            </w:pPr>
            <w:r>
              <w:rPr>
                <w:rFonts w:hint="eastAsia" w:cs="宋体"/>
                <w:sz w:val="24"/>
              </w:rPr>
              <w:t>C.2.29.5 医疗器械是否显示信息？</w:t>
            </w:r>
          </w:p>
          <w:p>
            <w:pPr>
              <w:rPr>
                <w:rFonts w:cs="宋体"/>
                <w:sz w:val="24"/>
              </w:rPr>
            </w:pPr>
            <w:r>
              <w:rPr>
                <w:rFonts w:hint="eastAsia" w:cs="宋体"/>
                <w:sz w:val="24"/>
              </w:rPr>
              <w:t>宜考虑的因素包括在不同环境下的可视性、方向性、使用者的视力、视野和透视、和显示信息的清晰度、单位、色标编码以及关键信息的可达性。</w:t>
            </w:r>
          </w:p>
        </w:tc>
        <w:tc>
          <w:tcPr>
            <w:tcW w:w="493" w:type="pct"/>
          </w:tcPr>
          <w:p>
            <w:pPr>
              <w:pStyle w:val="43"/>
              <w:ind w:firstLine="0" w:firstLineChars="0"/>
              <w:rPr>
                <w:rFonts w:ascii="Times New Roman" w:hAnsi="Times New Roman" w:cs="宋体"/>
                <w:sz w:val="24"/>
                <w:szCs w:val="24"/>
              </w:rPr>
            </w:pPr>
            <w:r>
              <w:rPr>
                <w:rFonts w:hint="eastAsia" w:ascii="Times New Roman" w:hAnsi="Times New Roman" w:cs="宋体"/>
                <w:sz w:val="24"/>
                <w:szCs w:val="24"/>
              </w:rPr>
              <w:t>是</w:t>
            </w:r>
          </w:p>
        </w:tc>
        <w:tc>
          <w:tcPr>
            <w:tcW w:w="1601" w:type="pct"/>
          </w:tcPr>
          <w:p>
            <w:pPr>
              <w:pStyle w:val="43"/>
              <w:ind w:firstLine="0" w:firstLineChars="0"/>
              <w:rPr>
                <w:rFonts w:ascii="Times New Roman" w:hAnsi="Times New Roman" w:cs="宋体"/>
                <w:sz w:val="24"/>
                <w:szCs w:val="24"/>
              </w:rPr>
            </w:pPr>
            <w:r>
              <w:rPr>
                <w:rFonts w:hint="eastAsia" w:ascii="Times New Roman" w:hAnsi="Times New Roman" w:cs="宋体"/>
                <w:sz w:val="24"/>
                <w:szCs w:val="24"/>
              </w:rPr>
              <w:t>产品为软件产品界面会显示信息</w:t>
            </w:r>
          </w:p>
        </w:tc>
        <w:tc>
          <w:tcPr>
            <w:tcW w:w="648" w:type="pct"/>
          </w:tcPr>
          <w:p>
            <w:pPr>
              <w:pStyle w:val="43"/>
              <w:ind w:firstLine="0" w:firstLineChars="0"/>
              <w:rPr>
                <w:rFonts w:ascii="Times New Roman" w:hAnsi="Times New Roman" w:cs="宋体"/>
                <w:sz w:val="24"/>
                <w:szCs w:val="24"/>
              </w:rPr>
            </w:pPr>
            <w:r>
              <w:rPr>
                <w:rFonts w:hint="eastAsia" w:ascii="Times New Roman" w:hAnsi="Times New Roman" w:cs="宋体"/>
                <w:sz w:val="24"/>
              </w:rPr>
              <w:t>信息</w:t>
            </w:r>
            <w:r>
              <w:rPr>
                <w:rFonts w:ascii="Times New Roman" w:hAnsi="Times New Roman" w:cs="宋体"/>
                <w:sz w:val="24"/>
              </w:rPr>
              <w:t>危害（</w:t>
            </w:r>
            <w:r>
              <w:rPr>
                <w:rFonts w:ascii="Times New Roman" w:hAnsi="Times New Roman"/>
                <w:sz w:val="24"/>
              </w:rPr>
              <w:t>H</w:t>
            </w:r>
            <w:r>
              <w:rPr>
                <w:rFonts w:hint="eastAsia" w:ascii="Times New Roman" w:hAnsi="Times New Roman"/>
                <w:sz w:val="24"/>
              </w:rPr>
              <w:t>8</w:t>
            </w:r>
            <w:r>
              <w:rPr>
                <w:rFonts w:ascii="Times New Roman" w:hAnsi="Times New Roman" w:cs="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2256" w:type="pct"/>
          </w:tcPr>
          <w:p>
            <w:pPr>
              <w:rPr>
                <w:rFonts w:cs="宋体"/>
                <w:sz w:val="24"/>
              </w:rPr>
            </w:pPr>
            <w:r>
              <w:rPr>
                <w:rFonts w:hint="eastAsia" w:cs="宋体"/>
                <w:sz w:val="24"/>
              </w:rPr>
              <w:t>C.2.29.6医疗器械是否由菜单控制？</w:t>
            </w:r>
          </w:p>
          <w:p>
            <w:pPr>
              <w:rPr>
                <w:rFonts w:cs="宋体"/>
                <w:sz w:val="24"/>
              </w:rPr>
            </w:pPr>
            <w:r>
              <w:rPr>
                <w:rFonts w:hint="eastAsia" w:cs="宋体"/>
                <w:sz w:val="24"/>
              </w:rPr>
              <w:t>宜考虑的因素包括层次的复杂性和数量、状态认知、位置设置、导航方法、每一动作的步骤数、顺序的明确性和存储问题，和可访问性的控制功能的重要性和偏离规定的操作程序的影响。</w:t>
            </w:r>
          </w:p>
        </w:tc>
        <w:tc>
          <w:tcPr>
            <w:tcW w:w="493" w:type="pct"/>
          </w:tcPr>
          <w:p>
            <w:pPr>
              <w:pStyle w:val="43"/>
              <w:ind w:firstLine="0" w:firstLineChars="0"/>
              <w:rPr>
                <w:rFonts w:ascii="Times New Roman" w:hAnsi="Times New Roman" w:cs="宋体"/>
                <w:sz w:val="24"/>
                <w:szCs w:val="24"/>
              </w:rPr>
            </w:pPr>
            <w:r>
              <w:rPr>
                <w:rFonts w:hint="eastAsia" w:ascii="Times New Roman" w:hAnsi="Times New Roman" w:cs="宋体"/>
                <w:sz w:val="24"/>
                <w:szCs w:val="24"/>
              </w:rPr>
              <w:t>是</w:t>
            </w:r>
          </w:p>
        </w:tc>
        <w:tc>
          <w:tcPr>
            <w:tcW w:w="1601" w:type="pct"/>
          </w:tcPr>
          <w:p>
            <w:pPr>
              <w:rPr>
                <w:rFonts w:cs="宋体"/>
                <w:sz w:val="24"/>
              </w:rPr>
            </w:pPr>
            <w:r>
              <w:rPr>
                <w:rFonts w:hint="eastAsia" w:cs="宋体"/>
                <w:sz w:val="24"/>
              </w:rPr>
              <w:t>产品由界面菜单控制使用。</w:t>
            </w:r>
          </w:p>
        </w:tc>
        <w:tc>
          <w:tcPr>
            <w:tcW w:w="648" w:type="pct"/>
          </w:tcPr>
          <w:p>
            <w:pPr>
              <w:pStyle w:val="43"/>
              <w:ind w:firstLine="0" w:firstLineChars="0"/>
              <w:rPr>
                <w:rFonts w:ascii="Times New Roman" w:hAnsi="Times New Roman" w:cs="宋体"/>
                <w:sz w:val="24"/>
                <w:szCs w:val="24"/>
              </w:rPr>
            </w:pPr>
            <w:r>
              <w:rPr>
                <w:rFonts w:hint="eastAsia" w:ascii="Times New Roman" w:hAnsi="Times New Roman" w:cs="宋体"/>
                <w:sz w:val="24"/>
              </w:rPr>
              <w:t>操作</w:t>
            </w:r>
            <w:r>
              <w:rPr>
                <w:rFonts w:ascii="Times New Roman" w:hAnsi="Times New Roman" w:cs="宋体"/>
                <w:sz w:val="24"/>
              </w:rPr>
              <w:t>危害（</w:t>
            </w:r>
            <w:r>
              <w:rPr>
                <w:rFonts w:ascii="Times New Roman" w:hAnsi="Times New Roman"/>
                <w:sz w:val="24"/>
              </w:rPr>
              <w:t>H</w:t>
            </w:r>
            <w:r>
              <w:rPr>
                <w:rFonts w:hint="eastAsia" w:ascii="Times New Roman" w:hAnsi="Times New Roman"/>
                <w:sz w:val="24"/>
              </w:rPr>
              <w:t>9</w:t>
            </w:r>
            <w:r>
              <w:rPr>
                <w:rFonts w:ascii="Times New Roman" w:hAnsi="Times New Roman" w:cs="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2256" w:type="pct"/>
          </w:tcPr>
          <w:p>
            <w:pPr>
              <w:rPr>
                <w:rFonts w:cs="宋体"/>
                <w:sz w:val="24"/>
              </w:rPr>
            </w:pPr>
            <w:r>
              <w:rPr>
                <w:rFonts w:hint="eastAsia" w:cs="宋体"/>
                <w:sz w:val="24"/>
              </w:rPr>
              <w:t>C.2.29.7 医疗器械是否由具有特殊需要的人使用？</w:t>
            </w:r>
          </w:p>
          <w:p>
            <w:pPr>
              <w:rPr>
                <w:rFonts w:cs="宋体"/>
                <w:sz w:val="24"/>
              </w:rPr>
            </w:pPr>
            <w:r>
              <w:rPr>
                <w:rFonts w:hint="eastAsia" w:cs="宋体"/>
                <w:sz w:val="24"/>
              </w:rPr>
              <w:t>宜考虑的因素包括用户、用户的精神和体能、技能和培训、人机工程学方面、使用环境、安装要求和患者控制或影响医疗器械使用的能力。对于有特殊需求使用者，如残障人士、老人和儿童宜给予特别的关注。为能使用医疗器械，他们的特殊需要可能包括另一个人的帮助。医疗器械是否预期由具有各种技能和文化背景的人员使用。</w:t>
            </w:r>
          </w:p>
        </w:tc>
        <w:tc>
          <w:tcPr>
            <w:tcW w:w="493" w:type="pct"/>
          </w:tcPr>
          <w:p>
            <w:pPr>
              <w:pStyle w:val="43"/>
              <w:ind w:firstLine="0" w:firstLineChars="0"/>
              <w:rPr>
                <w:rFonts w:ascii="Times New Roman" w:hAnsi="Times New Roman" w:cs="宋体"/>
                <w:sz w:val="24"/>
                <w:szCs w:val="24"/>
              </w:rPr>
            </w:pPr>
            <w:r>
              <w:rPr>
                <w:rFonts w:hint="eastAsia" w:ascii="Times New Roman" w:hAnsi="Times New Roman" w:cs="宋体"/>
                <w:sz w:val="24"/>
                <w:szCs w:val="24"/>
              </w:rPr>
              <w:t>是</w:t>
            </w:r>
          </w:p>
        </w:tc>
        <w:tc>
          <w:tcPr>
            <w:tcW w:w="1601" w:type="pct"/>
          </w:tcPr>
          <w:p>
            <w:pPr>
              <w:pStyle w:val="43"/>
              <w:ind w:firstLine="0" w:firstLineChars="0"/>
              <w:rPr>
                <w:rFonts w:ascii="Times New Roman" w:hAnsi="Times New Roman" w:cs="宋体"/>
                <w:sz w:val="24"/>
                <w:szCs w:val="24"/>
              </w:rPr>
            </w:pPr>
            <w:r>
              <w:rPr>
                <w:rFonts w:hint="eastAsia" w:ascii="Times New Roman" w:hAnsi="Times New Roman" w:cs="宋体"/>
                <w:sz w:val="24"/>
                <w:szCs w:val="24"/>
              </w:rPr>
              <w:t>产品用户为医院内的医生、技师，要求能够使用计算机，并理解相关术语及医疗影像</w:t>
            </w:r>
          </w:p>
        </w:tc>
        <w:tc>
          <w:tcPr>
            <w:tcW w:w="648" w:type="pct"/>
          </w:tcPr>
          <w:p>
            <w:pPr>
              <w:pStyle w:val="43"/>
              <w:ind w:firstLine="0" w:firstLineChars="0"/>
              <w:rPr>
                <w:rFonts w:ascii="Times New Roman" w:hAnsi="Times New Roman" w:cs="宋体"/>
                <w:sz w:val="24"/>
                <w:szCs w:val="24"/>
              </w:rPr>
            </w:pPr>
            <w:r>
              <w:rPr>
                <w:rFonts w:hint="eastAsia" w:ascii="Times New Roman" w:hAnsi="Times New Roman" w:cs="宋体"/>
                <w:sz w:val="24"/>
              </w:rPr>
              <w:t>信息</w:t>
            </w:r>
            <w:r>
              <w:rPr>
                <w:rFonts w:ascii="Times New Roman" w:hAnsi="Times New Roman" w:cs="宋体"/>
                <w:sz w:val="24"/>
              </w:rPr>
              <w:t>危害（</w:t>
            </w:r>
            <w:r>
              <w:rPr>
                <w:rFonts w:ascii="Times New Roman" w:hAnsi="Times New Roman"/>
                <w:sz w:val="24"/>
              </w:rPr>
              <w:t>H</w:t>
            </w:r>
            <w:r>
              <w:rPr>
                <w:rFonts w:hint="eastAsia" w:ascii="Times New Roman" w:hAnsi="Times New Roman"/>
                <w:sz w:val="24"/>
              </w:rPr>
              <w:t>10</w:t>
            </w:r>
            <w:r>
              <w:rPr>
                <w:rFonts w:ascii="Times New Roman" w:hAnsi="Times New Roman" w:cs="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2256" w:type="pct"/>
          </w:tcPr>
          <w:p>
            <w:pPr>
              <w:rPr>
                <w:rFonts w:cs="宋体"/>
                <w:sz w:val="24"/>
              </w:rPr>
            </w:pPr>
            <w:r>
              <w:rPr>
                <w:rFonts w:hint="eastAsia" w:cs="宋体"/>
                <w:sz w:val="24"/>
              </w:rPr>
              <w:t>C.2.29.8 用户界面能否用于启动使用者动作？</w:t>
            </w:r>
          </w:p>
          <w:p>
            <w:pPr>
              <w:rPr>
                <w:rFonts w:cs="宋体"/>
                <w:sz w:val="24"/>
              </w:rPr>
            </w:pPr>
            <w:r>
              <w:rPr>
                <w:rFonts w:hint="eastAsia" w:cs="宋体"/>
                <w:sz w:val="24"/>
              </w:rPr>
              <w:t>宜考虑的因素包括，使用者启动了一个已准备的动作进人一个受控的运行模式的可能性，这种可能性增大了患者的风险，是否会引起使用者的注意。</w:t>
            </w:r>
          </w:p>
        </w:tc>
        <w:tc>
          <w:tcPr>
            <w:tcW w:w="493" w:type="pct"/>
          </w:tcPr>
          <w:p>
            <w:pPr>
              <w:rPr>
                <w:rFonts w:cs="宋体"/>
                <w:sz w:val="24"/>
              </w:rPr>
            </w:pPr>
            <w:r>
              <w:rPr>
                <w:rFonts w:hint="eastAsia" w:cs="宋体"/>
                <w:sz w:val="24"/>
              </w:rPr>
              <w:t>否</w:t>
            </w:r>
          </w:p>
        </w:tc>
        <w:tc>
          <w:tcPr>
            <w:tcW w:w="1601" w:type="pct"/>
          </w:tcPr>
          <w:p>
            <w:pPr>
              <w:rPr>
                <w:rFonts w:cs="宋体"/>
                <w:sz w:val="24"/>
              </w:rPr>
            </w:pPr>
            <w:r>
              <w:rPr>
                <w:rFonts w:hint="eastAsia" w:cs="宋体"/>
                <w:sz w:val="24"/>
              </w:rPr>
              <w:t>/</w:t>
            </w:r>
          </w:p>
        </w:tc>
        <w:tc>
          <w:tcPr>
            <w:tcW w:w="648" w:type="pct"/>
          </w:tcPr>
          <w:p>
            <w:pPr>
              <w:rPr>
                <w:rFonts w:cs="宋体"/>
                <w:sz w:val="24"/>
              </w:rPr>
            </w:pPr>
            <w:r>
              <w:rPr>
                <w:rFonts w:hint="eastAsia" w:cs="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2256" w:type="pct"/>
          </w:tcPr>
          <w:p>
            <w:pPr>
              <w:rPr>
                <w:rFonts w:cs="宋体"/>
                <w:sz w:val="24"/>
              </w:rPr>
            </w:pPr>
            <w:r>
              <w:rPr>
                <w:rFonts w:hint="eastAsia" w:cs="宋体"/>
                <w:sz w:val="24"/>
              </w:rPr>
              <w:t>C.2.30 医疗器械是否使用报警系统？</w:t>
            </w:r>
          </w:p>
          <w:p>
            <w:pPr>
              <w:rPr>
                <w:rFonts w:cs="宋体"/>
                <w:sz w:val="24"/>
              </w:rPr>
            </w:pPr>
            <w:r>
              <w:rPr>
                <w:rFonts w:hint="eastAsia" w:cs="宋体"/>
                <w:sz w:val="24"/>
              </w:rPr>
              <w:t>宜考虑的因素是错误报警、不报警、报警系统断开、不可靠的远程报警系统的风险和医务人员理解报警系统如何工作的可能性。IEC 60601-1-8[26]给出了报警系统的指南。</w:t>
            </w:r>
          </w:p>
        </w:tc>
        <w:tc>
          <w:tcPr>
            <w:tcW w:w="493" w:type="pct"/>
          </w:tcPr>
          <w:p>
            <w:pPr>
              <w:rPr>
                <w:rFonts w:cs="宋体"/>
                <w:sz w:val="24"/>
              </w:rPr>
            </w:pPr>
            <w:r>
              <w:rPr>
                <w:rFonts w:hint="eastAsia" w:cs="宋体"/>
                <w:sz w:val="24"/>
              </w:rPr>
              <w:t>否</w:t>
            </w:r>
          </w:p>
        </w:tc>
        <w:tc>
          <w:tcPr>
            <w:tcW w:w="1601" w:type="pct"/>
          </w:tcPr>
          <w:p>
            <w:pPr>
              <w:rPr>
                <w:rFonts w:cs="宋体"/>
                <w:sz w:val="24"/>
              </w:rPr>
            </w:pPr>
            <w:r>
              <w:rPr>
                <w:rFonts w:hint="eastAsia" w:cs="宋体"/>
                <w:sz w:val="24"/>
              </w:rPr>
              <w:t>/</w:t>
            </w:r>
          </w:p>
        </w:tc>
        <w:tc>
          <w:tcPr>
            <w:tcW w:w="648" w:type="pct"/>
          </w:tcPr>
          <w:p>
            <w:pPr>
              <w:rPr>
                <w:rFonts w:cs="宋体"/>
                <w:sz w:val="24"/>
              </w:rPr>
            </w:pPr>
            <w:r>
              <w:rPr>
                <w:rFonts w:hint="eastAsia" w:cs="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9" w:hRule="atLeast"/>
          <w:jc w:val="center"/>
        </w:trPr>
        <w:tc>
          <w:tcPr>
            <w:tcW w:w="2256" w:type="pct"/>
          </w:tcPr>
          <w:p>
            <w:pPr>
              <w:rPr>
                <w:rFonts w:cs="宋体"/>
                <w:sz w:val="24"/>
              </w:rPr>
            </w:pPr>
            <w:r>
              <w:rPr>
                <w:rFonts w:hint="eastAsia" w:cs="宋体"/>
                <w:sz w:val="24"/>
              </w:rPr>
              <w:t>C.2.31 医疗器械可能以什么方式被故意地误用？</w:t>
            </w:r>
          </w:p>
          <w:p>
            <w:pPr>
              <w:rPr>
                <w:rFonts w:cs="宋体"/>
                <w:sz w:val="24"/>
              </w:rPr>
            </w:pPr>
            <w:r>
              <w:rPr>
                <w:rFonts w:hint="eastAsia" w:cs="宋体"/>
                <w:sz w:val="24"/>
              </w:rPr>
              <w:t>宜考虑的因素是连接器的不正确使用、丧失安全特性或报警不能工作、忽视制造商推荐的维护。</w:t>
            </w:r>
          </w:p>
        </w:tc>
        <w:tc>
          <w:tcPr>
            <w:tcW w:w="493" w:type="pct"/>
          </w:tcPr>
          <w:p>
            <w:pPr>
              <w:rPr>
                <w:rFonts w:cs="宋体"/>
                <w:sz w:val="24"/>
              </w:rPr>
            </w:pPr>
            <w:r>
              <w:rPr>
                <w:rFonts w:hint="eastAsia" w:cs="宋体"/>
                <w:sz w:val="24"/>
              </w:rPr>
              <w:t>否</w:t>
            </w:r>
          </w:p>
        </w:tc>
        <w:tc>
          <w:tcPr>
            <w:tcW w:w="1601" w:type="pct"/>
          </w:tcPr>
          <w:p>
            <w:pPr>
              <w:rPr>
                <w:rFonts w:cs="宋体"/>
                <w:sz w:val="24"/>
              </w:rPr>
            </w:pPr>
            <w:r>
              <w:rPr>
                <w:rFonts w:hint="eastAsia" w:cs="宋体"/>
                <w:sz w:val="24"/>
              </w:rPr>
              <w:t>/</w:t>
            </w:r>
          </w:p>
        </w:tc>
        <w:tc>
          <w:tcPr>
            <w:tcW w:w="648" w:type="pct"/>
          </w:tcPr>
          <w:p>
            <w:pPr>
              <w:rPr>
                <w:rFonts w:cs="宋体"/>
                <w:sz w:val="24"/>
              </w:rPr>
            </w:pPr>
            <w:r>
              <w:rPr>
                <w:rFonts w:hint="eastAsia" w:cs="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9" w:hRule="atLeast"/>
          <w:jc w:val="center"/>
        </w:trPr>
        <w:tc>
          <w:tcPr>
            <w:tcW w:w="2256" w:type="pct"/>
          </w:tcPr>
          <w:p>
            <w:pPr>
              <w:rPr>
                <w:rFonts w:cs="宋体"/>
                <w:sz w:val="24"/>
              </w:rPr>
            </w:pPr>
            <w:r>
              <w:rPr>
                <w:rFonts w:hint="eastAsia" w:cs="宋体"/>
                <w:sz w:val="24"/>
              </w:rPr>
              <w:t>C.2.32 医疗器械是否持有患者护理的关键数据？</w:t>
            </w:r>
          </w:p>
          <w:p>
            <w:pPr>
              <w:rPr>
                <w:rFonts w:cs="宋体"/>
                <w:sz w:val="24"/>
              </w:rPr>
            </w:pPr>
            <w:r>
              <w:rPr>
                <w:rFonts w:hint="eastAsia" w:cs="宋体"/>
                <w:sz w:val="24"/>
              </w:rPr>
              <w:t>宜考虑的因素包括数据被修改或被破坏的后果。</w:t>
            </w:r>
          </w:p>
        </w:tc>
        <w:tc>
          <w:tcPr>
            <w:tcW w:w="493" w:type="pct"/>
          </w:tcPr>
          <w:p>
            <w:pPr>
              <w:pStyle w:val="43"/>
              <w:ind w:firstLine="0" w:firstLineChars="0"/>
              <w:rPr>
                <w:rFonts w:ascii="Times New Roman" w:hAnsi="Times New Roman" w:cs="宋体"/>
                <w:sz w:val="24"/>
                <w:szCs w:val="24"/>
              </w:rPr>
            </w:pPr>
            <w:r>
              <w:rPr>
                <w:rFonts w:hint="eastAsia" w:ascii="Times New Roman" w:hAnsi="Times New Roman" w:cs="宋体"/>
                <w:sz w:val="24"/>
                <w:szCs w:val="24"/>
              </w:rPr>
              <w:t>否</w:t>
            </w:r>
          </w:p>
        </w:tc>
        <w:tc>
          <w:tcPr>
            <w:tcW w:w="1601" w:type="pct"/>
          </w:tcPr>
          <w:p>
            <w:pPr>
              <w:pStyle w:val="43"/>
              <w:ind w:firstLine="0" w:firstLineChars="0"/>
              <w:rPr>
                <w:rFonts w:ascii="Times New Roman" w:hAnsi="Times New Roman" w:cs="宋体"/>
                <w:sz w:val="24"/>
                <w:szCs w:val="24"/>
              </w:rPr>
            </w:pPr>
            <w:r>
              <w:rPr>
                <w:rFonts w:hint="eastAsia" w:ascii="Times New Roman" w:hAnsi="Times New Roman" w:cs="宋体"/>
                <w:sz w:val="24"/>
                <w:szCs w:val="24"/>
              </w:rPr>
              <w:t>/</w:t>
            </w:r>
          </w:p>
        </w:tc>
        <w:tc>
          <w:tcPr>
            <w:tcW w:w="648" w:type="pct"/>
          </w:tcPr>
          <w:p>
            <w:pPr>
              <w:pStyle w:val="43"/>
              <w:ind w:firstLine="0" w:firstLineChars="0"/>
              <w:rPr>
                <w:rFonts w:ascii="Times New Roman" w:hAnsi="Times New Roman" w:cs="宋体"/>
                <w:sz w:val="24"/>
                <w:szCs w:val="24"/>
              </w:rPr>
            </w:pPr>
            <w:r>
              <w:rPr>
                <w:rFonts w:hint="eastAsia" w:ascii="Times New Roman" w:hAnsi="Times New Roman" w:cs="宋体"/>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9" w:hRule="atLeast"/>
          <w:jc w:val="center"/>
        </w:trPr>
        <w:tc>
          <w:tcPr>
            <w:tcW w:w="2256" w:type="pct"/>
          </w:tcPr>
          <w:p>
            <w:pPr>
              <w:rPr>
                <w:rFonts w:cs="宋体"/>
                <w:sz w:val="24"/>
              </w:rPr>
            </w:pPr>
            <w:r>
              <w:rPr>
                <w:rFonts w:hint="eastAsia" w:cs="宋体"/>
                <w:sz w:val="24"/>
              </w:rPr>
              <w:t>C.2.33 医疗器械是否预期为移动式或便携式？</w:t>
            </w:r>
          </w:p>
          <w:p>
            <w:pPr>
              <w:rPr>
                <w:rFonts w:cs="宋体"/>
                <w:sz w:val="24"/>
              </w:rPr>
            </w:pPr>
            <w:r>
              <w:rPr>
                <w:rFonts w:hint="eastAsia" w:cs="宋体"/>
                <w:sz w:val="24"/>
              </w:rPr>
              <w:t>宜考虑的因素是必要的把手、手柄、轮子、制动、机械稳定性和耐久性。</w:t>
            </w:r>
          </w:p>
        </w:tc>
        <w:tc>
          <w:tcPr>
            <w:tcW w:w="493" w:type="pct"/>
          </w:tcPr>
          <w:p>
            <w:pPr>
              <w:rPr>
                <w:rFonts w:cs="宋体"/>
                <w:sz w:val="24"/>
              </w:rPr>
            </w:pPr>
            <w:r>
              <w:rPr>
                <w:rFonts w:hint="eastAsia" w:cs="宋体"/>
                <w:sz w:val="24"/>
              </w:rPr>
              <w:t>否</w:t>
            </w:r>
          </w:p>
        </w:tc>
        <w:tc>
          <w:tcPr>
            <w:tcW w:w="1601" w:type="pct"/>
          </w:tcPr>
          <w:p>
            <w:pPr>
              <w:rPr>
                <w:rFonts w:cs="宋体"/>
                <w:sz w:val="24"/>
              </w:rPr>
            </w:pPr>
            <w:r>
              <w:rPr>
                <w:rFonts w:hint="eastAsia" w:cs="宋体"/>
                <w:sz w:val="24"/>
              </w:rPr>
              <w:t>/</w:t>
            </w:r>
          </w:p>
        </w:tc>
        <w:tc>
          <w:tcPr>
            <w:tcW w:w="648" w:type="pct"/>
          </w:tcPr>
          <w:p>
            <w:pPr>
              <w:rPr>
                <w:rFonts w:cs="宋体"/>
                <w:sz w:val="24"/>
              </w:rPr>
            </w:pPr>
            <w:r>
              <w:rPr>
                <w:rFonts w:hint="eastAsia" w:cs="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2" w:hRule="atLeast"/>
          <w:jc w:val="center"/>
        </w:trPr>
        <w:tc>
          <w:tcPr>
            <w:tcW w:w="2256" w:type="pct"/>
          </w:tcPr>
          <w:p>
            <w:pPr>
              <w:rPr>
                <w:rFonts w:cs="宋体"/>
                <w:sz w:val="24"/>
              </w:rPr>
            </w:pPr>
            <w:r>
              <w:rPr>
                <w:rFonts w:hint="eastAsia" w:cs="宋体"/>
                <w:sz w:val="24"/>
              </w:rPr>
              <w:t>C.2.34 医疗器械的使用是否依赖于基本性能？</w:t>
            </w:r>
          </w:p>
          <w:p>
            <w:pPr>
              <w:rPr>
                <w:rFonts w:cs="宋体"/>
                <w:sz w:val="24"/>
              </w:rPr>
            </w:pPr>
            <w:r>
              <w:rPr>
                <w:rFonts w:hint="eastAsia" w:cs="宋体"/>
                <w:sz w:val="24"/>
              </w:rPr>
              <w:t>宜考虑的因素例如是生命支持器械的输出特征或报警的运行。有关医用电气设备和医用电气系统的基本性能的讨论见IEC 60601-1[23]</w:t>
            </w:r>
          </w:p>
        </w:tc>
        <w:tc>
          <w:tcPr>
            <w:tcW w:w="493" w:type="pct"/>
          </w:tcPr>
          <w:p>
            <w:pPr>
              <w:rPr>
                <w:rFonts w:cs="宋体"/>
                <w:sz w:val="24"/>
              </w:rPr>
            </w:pPr>
            <w:r>
              <w:rPr>
                <w:rFonts w:hint="eastAsia" w:cs="宋体"/>
                <w:sz w:val="24"/>
              </w:rPr>
              <w:t>否</w:t>
            </w:r>
          </w:p>
        </w:tc>
        <w:tc>
          <w:tcPr>
            <w:tcW w:w="1601" w:type="pct"/>
          </w:tcPr>
          <w:p>
            <w:pPr>
              <w:rPr>
                <w:rFonts w:cs="宋体"/>
                <w:sz w:val="24"/>
              </w:rPr>
            </w:pPr>
            <w:r>
              <w:rPr>
                <w:rFonts w:hint="eastAsia" w:cs="宋体"/>
                <w:sz w:val="24"/>
              </w:rPr>
              <w:t>/</w:t>
            </w:r>
          </w:p>
        </w:tc>
        <w:tc>
          <w:tcPr>
            <w:tcW w:w="648" w:type="pct"/>
          </w:tcPr>
          <w:p>
            <w:pPr>
              <w:rPr>
                <w:rFonts w:cs="宋体"/>
                <w:sz w:val="24"/>
              </w:rPr>
            </w:pPr>
            <w:r>
              <w:rPr>
                <w:rFonts w:hint="eastAsia" w:cs="宋体"/>
                <w:sz w:val="24"/>
              </w:rPr>
              <w:t>/</w:t>
            </w:r>
          </w:p>
        </w:tc>
      </w:tr>
    </w:tbl>
    <w:p>
      <w:pPr>
        <w:rPr>
          <w:sz w:val="24"/>
        </w:rPr>
      </w:pPr>
    </w:p>
    <w:p>
      <w:pPr>
        <w:rPr>
          <w:sz w:val="24"/>
        </w:rPr>
      </w:pPr>
    </w:p>
    <w:p>
      <w:pPr>
        <w:pStyle w:val="58"/>
        <w:keepNext w:val="0"/>
        <w:numPr>
          <w:ilvl w:val="0"/>
          <w:numId w:val="5"/>
        </w:numPr>
        <w:topLinePunct/>
        <w:spacing w:before="0" w:after="0" w:line="360" w:lineRule="auto"/>
        <w:jc w:val="left"/>
        <w:outlineLvl w:val="0"/>
        <w:rPr>
          <w:rFonts w:ascii="Times New Roman" w:hAnsi="Times New Roman"/>
          <w:szCs w:val="32"/>
        </w:rPr>
      </w:pPr>
      <w:bookmarkStart w:id="24" w:name="_Toc78988835"/>
      <w:r>
        <w:rPr>
          <w:rFonts w:ascii="Times New Roman" w:hAnsi="Times New Roman"/>
          <w:szCs w:val="32"/>
        </w:rPr>
        <w:t>危害的判定、风险的估计和评价、风险控制及验证</w:t>
      </w:r>
      <w:bookmarkEnd w:id="23"/>
      <w:bookmarkEnd w:id="24"/>
    </w:p>
    <w:p>
      <w:pPr>
        <w:autoSpaceDE w:val="0"/>
        <w:autoSpaceDN w:val="0"/>
        <w:adjustRightInd w:val="0"/>
        <w:spacing w:line="360" w:lineRule="auto"/>
        <w:ind w:firstLine="480" w:firstLineChars="200"/>
        <w:jc w:val="left"/>
        <w:rPr>
          <w:rFonts w:cs="宋体"/>
          <w:color w:val="000000" w:themeColor="text1"/>
          <w:sz w:val="24"/>
          <w14:textFill>
            <w14:solidFill>
              <w14:schemeClr w14:val="tx1"/>
            </w14:solidFill>
          </w14:textFill>
        </w:rPr>
      </w:pPr>
      <w:r>
        <w:rPr>
          <w:kern w:val="0"/>
          <w:sz w:val="24"/>
          <w:szCs w:val="21"/>
        </w:rPr>
        <w:t>在正常和故障两种条件下，基于</w:t>
      </w:r>
      <w:r>
        <w:rPr>
          <w:rFonts w:hint="eastAsia"/>
          <w:sz w:val="24"/>
          <w:szCs w:val="28"/>
        </w:rPr>
        <w:t>GB/T 42062</w:t>
      </w:r>
      <w:r>
        <w:rPr>
          <w:kern w:val="0"/>
          <w:sz w:val="24"/>
          <w:szCs w:val="21"/>
        </w:rPr>
        <w:t>-20</w:t>
      </w:r>
      <w:r>
        <w:rPr>
          <w:rFonts w:hint="eastAsia"/>
          <w:kern w:val="0"/>
          <w:sz w:val="24"/>
          <w:szCs w:val="21"/>
        </w:rPr>
        <w:t>22</w:t>
      </w:r>
      <w:r>
        <w:rPr>
          <w:kern w:val="0"/>
          <w:sz w:val="24"/>
          <w:szCs w:val="21"/>
        </w:rPr>
        <w:t>附录E条文中对风险分析的要求，判定与产品有关的已知或可预见的危害。估计每个危害处境的风险，并根据风险管理计划中规定的准则，对风险进行评价。对于风险等级是ACC的风险，不需要提供措施再来降低风险；但对于等级是</w:t>
      </w:r>
      <w:r>
        <w:rPr>
          <w:sz w:val="24"/>
          <w:szCs w:val="21"/>
        </w:rPr>
        <w:t>N/ACC或ALARP的风险，执行风险控制措施。结果见以下表格：</w:t>
      </w:r>
    </w:p>
    <w:p>
      <w:pPr>
        <w:autoSpaceDE w:val="0"/>
        <w:autoSpaceDN w:val="0"/>
        <w:adjustRightInd w:val="0"/>
        <w:jc w:val="center"/>
        <w:rPr>
          <w:rFonts w:cs="宋体"/>
          <w:color w:val="000000" w:themeColor="text1"/>
          <w:sz w:val="24"/>
          <w14:textFill>
            <w14:solidFill>
              <w14:schemeClr w14:val="tx1"/>
            </w14:solidFill>
          </w14:textFill>
        </w:rPr>
      </w:pPr>
      <w:r>
        <w:rPr>
          <w:rFonts w:hint="eastAsia"/>
          <w:sz w:val="24"/>
          <w:szCs w:val="21"/>
        </w:rPr>
        <w:t>表3.危害的判定、风险的估计和评价、风险控制及验证表</w:t>
      </w:r>
    </w:p>
    <w:tbl>
      <w:tblPr>
        <w:tblStyle w:val="36"/>
        <w:tblW w:w="10265" w:type="dxa"/>
        <w:jc w:val="center"/>
        <w:tblLayout w:type="fixed"/>
        <w:tblCellMar>
          <w:top w:w="0" w:type="dxa"/>
          <w:left w:w="108" w:type="dxa"/>
          <w:bottom w:w="0" w:type="dxa"/>
          <w:right w:w="108" w:type="dxa"/>
        </w:tblCellMar>
      </w:tblPr>
      <w:tblGrid>
        <w:gridCol w:w="1098"/>
        <w:gridCol w:w="733"/>
        <w:gridCol w:w="1677"/>
        <w:gridCol w:w="1701"/>
        <w:gridCol w:w="2465"/>
        <w:gridCol w:w="16"/>
        <w:gridCol w:w="877"/>
        <w:gridCol w:w="8"/>
        <w:gridCol w:w="842"/>
        <w:gridCol w:w="848"/>
      </w:tblGrid>
      <w:tr>
        <w:tblPrEx>
          <w:tblCellMar>
            <w:top w:w="0" w:type="dxa"/>
            <w:left w:w="108" w:type="dxa"/>
            <w:bottom w:w="0" w:type="dxa"/>
            <w:right w:w="108" w:type="dxa"/>
          </w:tblCellMar>
        </w:tblPrEx>
        <w:trPr>
          <w:trHeight w:val="344" w:hRule="atLeast"/>
          <w:jc w:val="center"/>
        </w:trPr>
        <w:tc>
          <w:tcPr>
            <w:tcW w:w="1098" w:type="dxa"/>
            <w:vMerge w:val="restart"/>
            <w:tcBorders>
              <w:top w:val="single" w:color="000000" w:sz="8" w:space="0"/>
              <w:left w:val="single" w:color="000000" w:sz="8" w:space="0"/>
              <w:right w:val="single" w:color="000000" w:sz="8" w:space="0"/>
            </w:tcBorders>
            <w:shd w:val="clear" w:color="auto" w:fill="C0C0C0"/>
            <w:vAlign w:val="center"/>
          </w:tcPr>
          <w:p>
            <w:pPr>
              <w:pStyle w:val="53"/>
              <w:rPr>
                <w:rFonts w:ascii="Times New Roman" w:eastAsia="宋体" w:cs="宋体"/>
                <w:color w:val="000000" w:themeColor="text1"/>
                <w14:textFill>
                  <w14:solidFill>
                    <w14:schemeClr w14:val="tx1"/>
                  </w14:solidFill>
                </w14:textFill>
              </w:rPr>
            </w:pPr>
            <w:r>
              <w:rPr>
                <w:rFonts w:hint="eastAsia" w:ascii="Times New Roman" w:eastAsia="宋体" w:cs="宋体"/>
                <w:color w:val="000000" w:themeColor="text1"/>
                <w14:textFill>
                  <w14:solidFill>
                    <w14:schemeClr w14:val="tx1"/>
                  </w14:solidFill>
                </w14:textFill>
              </w:rPr>
              <w:t>危害类型</w:t>
            </w:r>
          </w:p>
        </w:tc>
        <w:tc>
          <w:tcPr>
            <w:tcW w:w="733" w:type="dxa"/>
            <w:vMerge w:val="restart"/>
            <w:tcBorders>
              <w:top w:val="single" w:color="000000" w:sz="8" w:space="0"/>
              <w:left w:val="single" w:color="000000" w:sz="8" w:space="0"/>
              <w:right w:val="single" w:color="000000" w:sz="8" w:space="0"/>
            </w:tcBorders>
            <w:shd w:val="clear" w:color="auto" w:fill="C0C0C0"/>
            <w:vAlign w:val="center"/>
          </w:tcPr>
          <w:p>
            <w:pPr>
              <w:pStyle w:val="53"/>
              <w:jc w:val="center"/>
              <w:rPr>
                <w:rFonts w:ascii="Times New Roman" w:eastAsia="宋体" w:cs="宋体"/>
                <w:color w:val="000000" w:themeColor="text1"/>
                <w14:textFill>
                  <w14:solidFill>
                    <w14:schemeClr w14:val="tx1"/>
                  </w14:solidFill>
                </w14:textFill>
              </w:rPr>
            </w:pPr>
            <w:r>
              <w:rPr>
                <w:rFonts w:hint="eastAsia" w:ascii="Times New Roman" w:eastAsia="宋体" w:cs="宋体"/>
                <w:color w:val="000000" w:themeColor="text1"/>
                <w14:textFill>
                  <w14:solidFill>
                    <w14:schemeClr w14:val="tx1"/>
                  </w14:solidFill>
                </w14:textFill>
              </w:rPr>
              <w:t>编号</w:t>
            </w:r>
          </w:p>
        </w:tc>
        <w:tc>
          <w:tcPr>
            <w:tcW w:w="1677" w:type="dxa"/>
            <w:vMerge w:val="restart"/>
            <w:tcBorders>
              <w:top w:val="single" w:color="000000" w:sz="8" w:space="0"/>
              <w:left w:val="single" w:color="000000" w:sz="8" w:space="0"/>
              <w:right w:val="single" w:color="000000" w:sz="8" w:space="0"/>
            </w:tcBorders>
            <w:shd w:val="clear" w:color="auto" w:fill="C0C0C0"/>
            <w:vAlign w:val="center"/>
          </w:tcPr>
          <w:p>
            <w:pPr>
              <w:pStyle w:val="53"/>
              <w:jc w:val="center"/>
              <w:rPr>
                <w:rFonts w:ascii="Times New Roman" w:eastAsia="宋体" w:cs="宋体"/>
                <w:color w:val="000000" w:themeColor="text1"/>
                <w14:textFill>
                  <w14:solidFill>
                    <w14:schemeClr w14:val="tx1"/>
                  </w14:solidFill>
                </w14:textFill>
              </w:rPr>
            </w:pPr>
            <w:r>
              <w:rPr>
                <w:rFonts w:hint="eastAsia" w:ascii="Times New Roman" w:eastAsia="宋体" w:cs="宋体"/>
                <w:color w:val="000000" w:themeColor="text1"/>
                <w14:textFill>
                  <w14:solidFill>
                    <w14:schemeClr w14:val="tx1"/>
                  </w14:solidFill>
                </w14:textFill>
              </w:rPr>
              <w:t>可预见的事件及事件序列</w:t>
            </w:r>
          </w:p>
        </w:tc>
        <w:tc>
          <w:tcPr>
            <w:tcW w:w="1701" w:type="dxa"/>
            <w:vMerge w:val="restart"/>
            <w:tcBorders>
              <w:top w:val="single" w:color="000000" w:sz="8" w:space="0"/>
              <w:left w:val="single" w:color="000000" w:sz="8" w:space="0"/>
              <w:right w:val="single" w:color="000000" w:sz="8" w:space="0"/>
            </w:tcBorders>
            <w:shd w:val="clear" w:color="auto" w:fill="C0C0C0"/>
            <w:vAlign w:val="center"/>
          </w:tcPr>
          <w:p>
            <w:pPr>
              <w:pStyle w:val="53"/>
              <w:jc w:val="center"/>
              <w:rPr>
                <w:rFonts w:ascii="Times New Roman" w:eastAsia="宋体" w:cs="宋体"/>
                <w:color w:val="000000" w:themeColor="text1"/>
                <w14:textFill>
                  <w14:solidFill>
                    <w14:schemeClr w14:val="tx1"/>
                  </w14:solidFill>
                </w14:textFill>
              </w:rPr>
            </w:pPr>
            <w:r>
              <w:rPr>
                <w:rFonts w:hint="eastAsia" w:ascii="Times New Roman" w:eastAsia="宋体" w:cs="宋体"/>
                <w:color w:val="000000" w:themeColor="text1"/>
                <w14:textFill>
                  <w14:solidFill>
                    <w14:schemeClr w14:val="tx1"/>
                  </w14:solidFill>
                </w14:textFill>
              </w:rPr>
              <w:t>危害处境</w:t>
            </w:r>
          </w:p>
        </w:tc>
        <w:tc>
          <w:tcPr>
            <w:tcW w:w="2481" w:type="dxa"/>
            <w:gridSpan w:val="2"/>
            <w:vMerge w:val="restart"/>
            <w:tcBorders>
              <w:top w:val="single" w:color="000000" w:sz="8" w:space="0"/>
              <w:left w:val="single" w:color="000000" w:sz="8" w:space="0"/>
              <w:right w:val="single" w:color="000000" w:sz="8" w:space="0"/>
            </w:tcBorders>
            <w:shd w:val="clear" w:color="auto" w:fill="C0C0C0"/>
            <w:vAlign w:val="center"/>
          </w:tcPr>
          <w:p>
            <w:pPr>
              <w:pStyle w:val="53"/>
              <w:jc w:val="center"/>
              <w:rPr>
                <w:rFonts w:ascii="Times New Roman" w:eastAsia="宋体" w:cs="宋体"/>
                <w:color w:val="000000" w:themeColor="text1"/>
                <w14:textFill>
                  <w14:solidFill>
                    <w14:schemeClr w14:val="tx1"/>
                  </w14:solidFill>
                </w14:textFill>
              </w:rPr>
            </w:pPr>
            <w:r>
              <w:rPr>
                <w:rFonts w:hint="eastAsia" w:ascii="Times New Roman" w:eastAsia="宋体" w:cs="宋体"/>
                <w:color w:val="000000" w:themeColor="text1"/>
                <w14:textFill>
                  <w14:solidFill>
                    <w14:schemeClr w14:val="tx1"/>
                  </w14:solidFill>
                </w14:textFill>
              </w:rPr>
              <w:t>损害</w:t>
            </w:r>
          </w:p>
        </w:tc>
        <w:tc>
          <w:tcPr>
            <w:tcW w:w="2575" w:type="dxa"/>
            <w:gridSpan w:val="4"/>
            <w:tcBorders>
              <w:top w:val="single" w:color="000000" w:sz="8" w:space="0"/>
              <w:left w:val="single" w:color="000000" w:sz="8" w:space="0"/>
              <w:bottom w:val="single" w:color="000000" w:sz="8" w:space="0"/>
              <w:right w:val="single" w:color="000000" w:sz="8" w:space="0"/>
            </w:tcBorders>
            <w:shd w:val="clear" w:color="auto" w:fill="C0C0C0"/>
          </w:tcPr>
          <w:p>
            <w:pPr>
              <w:pStyle w:val="53"/>
              <w:jc w:val="center"/>
              <w:rPr>
                <w:rFonts w:ascii="Times New Roman" w:eastAsia="宋体" w:cs="宋体"/>
                <w:color w:val="000000" w:themeColor="text1"/>
                <w14:textFill>
                  <w14:solidFill>
                    <w14:schemeClr w14:val="tx1"/>
                  </w14:solidFill>
                </w14:textFill>
              </w:rPr>
            </w:pPr>
            <w:r>
              <w:rPr>
                <w:rFonts w:hint="eastAsia" w:ascii="Times New Roman" w:eastAsia="宋体" w:cs="宋体"/>
                <w:color w:val="000000" w:themeColor="text1"/>
                <w14:textFill>
                  <w14:solidFill>
                    <w14:schemeClr w14:val="tx1"/>
                  </w14:solidFill>
                </w14:textFill>
              </w:rPr>
              <w:t>风险评估</w:t>
            </w:r>
          </w:p>
        </w:tc>
      </w:tr>
      <w:tr>
        <w:tblPrEx>
          <w:tblCellMar>
            <w:top w:w="0" w:type="dxa"/>
            <w:left w:w="108" w:type="dxa"/>
            <w:bottom w:w="0" w:type="dxa"/>
            <w:right w:w="108" w:type="dxa"/>
          </w:tblCellMar>
        </w:tblPrEx>
        <w:trPr>
          <w:trHeight w:val="343" w:hRule="atLeast"/>
          <w:jc w:val="center"/>
        </w:trPr>
        <w:tc>
          <w:tcPr>
            <w:tcW w:w="1098" w:type="dxa"/>
            <w:vMerge w:val="continue"/>
            <w:tcBorders>
              <w:left w:val="single" w:color="000000" w:sz="8" w:space="0"/>
              <w:bottom w:val="single" w:color="000000" w:sz="8" w:space="0"/>
              <w:right w:val="single" w:color="000000" w:sz="8" w:space="0"/>
            </w:tcBorders>
            <w:shd w:val="clear" w:color="auto" w:fill="C0C0C0"/>
            <w:vAlign w:val="center"/>
          </w:tcPr>
          <w:p>
            <w:pPr>
              <w:pStyle w:val="53"/>
              <w:rPr>
                <w:rFonts w:ascii="Times New Roman" w:eastAsia="宋体" w:cs="宋体"/>
                <w:color w:val="000000" w:themeColor="text1"/>
                <w14:textFill>
                  <w14:solidFill>
                    <w14:schemeClr w14:val="tx1"/>
                  </w14:solidFill>
                </w14:textFill>
              </w:rPr>
            </w:pPr>
          </w:p>
        </w:tc>
        <w:tc>
          <w:tcPr>
            <w:tcW w:w="733" w:type="dxa"/>
            <w:vMerge w:val="continue"/>
            <w:tcBorders>
              <w:left w:val="single" w:color="000000" w:sz="8" w:space="0"/>
              <w:bottom w:val="single" w:color="000000" w:sz="8" w:space="0"/>
              <w:right w:val="single" w:color="000000" w:sz="8" w:space="0"/>
            </w:tcBorders>
            <w:shd w:val="clear" w:color="auto" w:fill="C0C0C0"/>
            <w:vAlign w:val="center"/>
          </w:tcPr>
          <w:p>
            <w:pPr>
              <w:pStyle w:val="53"/>
              <w:jc w:val="center"/>
              <w:rPr>
                <w:rFonts w:ascii="Times New Roman" w:eastAsia="宋体" w:cs="宋体"/>
                <w:color w:val="000000" w:themeColor="text1"/>
                <w14:textFill>
                  <w14:solidFill>
                    <w14:schemeClr w14:val="tx1"/>
                  </w14:solidFill>
                </w14:textFill>
              </w:rPr>
            </w:pPr>
          </w:p>
        </w:tc>
        <w:tc>
          <w:tcPr>
            <w:tcW w:w="1677" w:type="dxa"/>
            <w:vMerge w:val="continue"/>
            <w:tcBorders>
              <w:left w:val="single" w:color="000000" w:sz="8" w:space="0"/>
              <w:bottom w:val="single" w:color="000000" w:sz="8" w:space="0"/>
              <w:right w:val="single" w:color="000000" w:sz="8" w:space="0"/>
            </w:tcBorders>
            <w:shd w:val="clear" w:color="auto" w:fill="C0C0C0"/>
            <w:vAlign w:val="center"/>
          </w:tcPr>
          <w:p>
            <w:pPr>
              <w:pStyle w:val="53"/>
              <w:jc w:val="center"/>
              <w:rPr>
                <w:rFonts w:ascii="Times New Roman" w:eastAsia="宋体" w:cs="宋体"/>
                <w:color w:val="000000" w:themeColor="text1"/>
                <w14:textFill>
                  <w14:solidFill>
                    <w14:schemeClr w14:val="tx1"/>
                  </w14:solidFill>
                </w14:textFill>
              </w:rPr>
            </w:pPr>
          </w:p>
        </w:tc>
        <w:tc>
          <w:tcPr>
            <w:tcW w:w="1701" w:type="dxa"/>
            <w:vMerge w:val="continue"/>
            <w:tcBorders>
              <w:left w:val="single" w:color="000000" w:sz="8" w:space="0"/>
              <w:bottom w:val="single" w:color="000000" w:sz="8" w:space="0"/>
              <w:right w:val="single" w:color="000000" w:sz="8" w:space="0"/>
            </w:tcBorders>
            <w:shd w:val="clear" w:color="auto" w:fill="C0C0C0"/>
            <w:vAlign w:val="center"/>
          </w:tcPr>
          <w:p>
            <w:pPr>
              <w:pStyle w:val="53"/>
              <w:jc w:val="center"/>
              <w:rPr>
                <w:rFonts w:ascii="Times New Roman" w:eastAsia="宋体" w:cs="宋体"/>
                <w:color w:val="000000" w:themeColor="text1"/>
                <w14:textFill>
                  <w14:solidFill>
                    <w14:schemeClr w14:val="tx1"/>
                  </w14:solidFill>
                </w14:textFill>
              </w:rPr>
            </w:pPr>
          </w:p>
        </w:tc>
        <w:tc>
          <w:tcPr>
            <w:tcW w:w="2481" w:type="dxa"/>
            <w:gridSpan w:val="2"/>
            <w:vMerge w:val="continue"/>
            <w:tcBorders>
              <w:left w:val="single" w:color="000000" w:sz="8" w:space="0"/>
              <w:bottom w:val="single" w:color="000000" w:sz="8" w:space="0"/>
              <w:right w:val="single" w:color="000000" w:sz="8" w:space="0"/>
            </w:tcBorders>
            <w:shd w:val="clear" w:color="auto" w:fill="C0C0C0"/>
            <w:vAlign w:val="center"/>
          </w:tcPr>
          <w:p>
            <w:pPr>
              <w:pStyle w:val="53"/>
              <w:jc w:val="center"/>
              <w:rPr>
                <w:rFonts w:ascii="Times New Roman" w:eastAsia="宋体" w:cs="宋体"/>
                <w:color w:val="000000" w:themeColor="text1"/>
                <w14:textFill>
                  <w14:solidFill>
                    <w14:schemeClr w14:val="tx1"/>
                  </w14:solidFill>
                </w14:textFill>
              </w:rPr>
            </w:pPr>
          </w:p>
        </w:tc>
        <w:tc>
          <w:tcPr>
            <w:tcW w:w="877" w:type="dxa"/>
            <w:tcBorders>
              <w:top w:val="single" w:color="000000" w:sz="8" w:space="0"/>
              <w:left w:val="single" w:color="000000" w:sz="8" w:space="0"/>
              <w:bottom w:val="single" w:color="000000" w:sz="8" w:space="0"/>
              <w:right w:val="single" w:color="000000" w:sz="8" w:space="0"/>
            </w:tcBorders>
            <w:shd w:val="clear" w:color="auto" w:fill="C0C0C0"/>
          </w:tcPr>
          <w:p>
            <w:pPr>
              <w:pStyle w:val="53"/>
              <w:jc w:val="center"/>
              <w:rPr>
                <w:rFonts w:ascii="Times New Roman" w:eastAsia="宋体" w:cs="宋体"/>
                <w:color w:val="000000" w:themeColor="text1"/>
                <w14:textFill>
                  <w14:solidFill>
                    <w14:schemeClr w14:val="tx1"/>
                  </w14:solidFill>
                </w14:textFill>
              </w:rPr>
            </w:pPr>
            <w:r>
              <w:rPr>
                <w:rFonts w:hint="eastAsia" w:ascii="Times New Roman" w:eastAsia="宋体" w:cs="宋体"/>
                <w:color w:val="000000" w:themeColor="text1"/>
                <w14:textFill>
                  <w14:solidFill>
                    <w14:schemeClr w14:val="tx1"/>
                  </w14:solidFill>
                </w14:textFill>
              </w:rPr>
              <w:t>严重度</w:t>
            </w:r>
          </w:p>
          <w:p>
            <w:pPr>
              <w:pStyle w:val="53"/>
              <w:jc w:val="center"/>
              <w:rPr>
                <w:rFonts w:ascii="Times New Roman" w:eastAsia="宋体" w:cs="宋体"/>
                <w:color w:val="000000" w:themeColor="text1"/>
                <w14:textFill>
                  <w14:solidFill>
                    <w14:schemeClr w14:val="tx1"/>
                  </w14:solidFill>
                </w14:textFill>
              </w:rPr>
            </w:pPr>
          </w:p>
        </w:tc>
        <w:tc>
          <w:tcPr>
            <w:tcW w:w="850" w:type="dxa"/>
            <w:gridSpan w:val="2"/>
            <w:tcBorders>
              <w:top w:val="single" w:color="000000" w:sz="8" w:space="0"/>
              <w:left w:val="single" w:color="000000" w:sz="8" w:space="0"/>
              <w:bottom w:val="single" w:color="000000" w:sz="8" w:space="0"/>
              <w:right w:val="single" w:color="000000" w:sz="8" w:space="0"/>
            </w:tcBorders>
            <w:shd w:val="clear" w:color="auto" w:fill="C0C0C0"/>
          </w:tcPr>
          <w:p>
            <w:pPr>
              <w:pStyle w:val="53"/>
              <w:jc w:val="center"/>
              <w:rPr>
                <w:rFonts w:ascii="Times New Roman" w:eastAsia="宋体" w:cs="宋体"/>
                <w:color w:val="000000" w:themeColor="text1"/>
                <w14:textFill>
                  <w14:solidFill>
                    <w14:schemeClr w14:val="tx1"/>
                  </w14:solidFill>
                </w14:textFill>
              </w:rPr>
            </w:pPr>
            <w:r>
              <w:rPr>
                <w:rFonts w:hint="eastAsia" w:ascii="Times New Roman" w:eastAsia="宋体" w:cs="宋体"/>
                <w:color w:val="000000" w:themeColor="text1"/>
                <w14:textFill>
                  <w14:solidFill>
                    <w14:schemeClr w14:val="tx1"/>
                  </w14:solidFill>
                </w14:textFill>
              </w:rPr>
              <w:t>概率</w:t>
            </w:r>
          </w:p>
          <w:p>
            <w:pPr>
              <w:pStyle w:val="53"/>
              <w:jc w:val="center"/>
              <w:rPr>
                <w:rFonts w:ascii="Times New Roman" w:eastAsia="宋体" w:cs="宋体"/>
                <w:color w:val="000000" w:themeColor="text1"/>
                <w14:textFill>
                  <w14:solidFill>
                    <w14:schemeClr w14:val="tx1"/>
                  </w14:solidFill>
                </w14:textFill>
              </w:rPr>
            </w:pPr>
          </w:p>
        </w:tc>
        <w:tc>
          <w:tcPr>
            <w:tcW w:w="848" w:type="dxa"/>
            <w:tcBorders>
              <w:top w:val="single" w:color="000000" w:sz="8" w:space="0"/>
              <w:left w:val="single" w:color="000000" w:sz="8" w:space="0"/>
              <w:bottom w:val="single" w:color="000000" w:sz="8" w:space="0"/>
              <w:right w:val="single" w:color="000000" w:sz="8" w:space="0"/>
            </w:tcBorders>
            <w:shd w:val="clear" w:color="auto" w:fill="C0C0C0"/>
          </w:tcPr>
          <w:p>
            <w:pPr>
              <w:pStyle w:val="53"/>
              <w:jc w:val="center"/>
              <w:rPr>
                <w:rFonts w:ascii="Times New Roman" w:eastAsia="宋体" w:cs="宋体"/>
                <w:color w:val="000000" w:themeColor="text1"/>
                <w14:textFill>
                  <w14:solidFill>
                    <w14:schemeClr w14:val="tx1"/>
                  </w14:solidFill>
                </w14:textFill>
              </w:rPr>
            </w:pPr>
            <w:r>
              <w:rPr>
                <w:rFonts w:hint="eastAsia" w:ascii="Times New Roman" w:eastAsia="宋体" w:cs="宋体"/>
                <w:color w:val="000000" w:themeColor="text1"/>
                <w14:textFill>
                  <w14:solidFill>
                    <w14:schemeClr w14:val="tx1"/>
                  </w14:solidFill>
                </w14:textFill>
              </w:rPr>
              <w:t>风险水平</w:t>
            </w:r>
          </w:p>
        </w:tc>
      </w:tr>
      <w:tr>
        <w:tblPrEx>
          <w:tblCellMar>
            <w:top w:w="0" w:type="dxa"/>
            <w:left w:w="108" w:type="dxa"/>
            <w:bottom w:w="0" w:type="dxa"/>
            <w:right w:w="108" w:type="dxa"/>
          </w:tblCellMar>
        </w:tblPrEx>
        <w:trPr>
          <w:cantSplit/>
          <w:jc w:val="center"/>
        </w:trPr>
        <w:tc>
          <w:tcPr>
            <w:tcW w:w="1098" w:type="dxa"/>
            <w:tcBorders>
              <w:top w:val="single" w:color="000000" w:sz="8" w:space="0"/>
              <w:left w:val="single" w:color="000000" w:sz="8" w:space="0"/>
              <w:bottom w:val="single" w:color="000000" w:sz="8" w:space="0"/>
              <w:right w:val="single" w:color="000000" w:sz="8" w:space="0"/>
            </w:tcBorders>
            <w:vAlign w:val="center"/>
          </w:tcPr>
          <w:p>
            <w:pPr>
              <w:pStyle w:val="53"/>
              <w:jc w:val="center"/>
              <w:rPr>
                <w:rFonts w:ascii="Times New Roman" w:eastAsia="宋体" w:cs="宋体"/>
                <w:color w:val="000000" w:themeColor="text1"/>
                <w14:textFill>
                  <w14:solidFill>
                    <w14:schemeClr w14:val="tx1"/>
                  </w14:solidFill>
                </w14:textFill>
              </w:rPr>
            </w:pPr>
            <w:r>
              <w:rPr>
                <w:rFonts w:hint="eastAsia" w:ascii="Times New Roman" w:eastAsia="宋体" w:cs="宋体"/>
                <w:color w:val="000000" w:themeColor="text1"/>
                <w14:textFill>
                  <w14:solidFill>
                    <w14:schemeClr w14:val="tx1"/>
                  </w14:solidFill>
                </w14:textFill>
              </w:rPr>
              <w:t>信息危害（不适当的预期使用规范）</w:t>
            </w:r>
          </w:p>
        </w:tc>
        <w:tc>
          <w:tcPr>
            <w:tcW w:w="733" w:type="dxa"/>
            <w:tcBorders>
              <w:top w:val="single" w:color="000000" w:sz="8" w:space="0"/>
              <w:left w:val="single" w:color="000000" w:sz="8" w:space="0"/>
              <w:bottom w:val="single" w:color="000000" w:sz="8" w:space="0"/>
              <w:right w:val="single" w:color="000000" w:sz="8" w:space="0"/>
            </w:tcBorders>
            <w:vAlign w:val="center"/>
          </w:tcPr>
          <w:p>
            <w:pPr>
              <w:pStyle w:val="53"/>
              <w:jc w:val="center"/>
              <w:rPr>
                <w:rFonts w:ascii="Times New Roman" w:eastAsia="宋体" w:cs="宋体"/>
                <w:color w:val="000000" w:themeColor="text1"/>
                <w14:textFill>
                  <w14:solidFill>
                    <w14:schemeClr w14:val="tx1"/>
                  </w14:solidFill>
                </w14:textFill>
              </w:rPr>
            </w:pPr>
            <w:r>
              <w:rPr>
                <w:rFonts w:hint="eastAsia" w:ascii="Times New Roman" w:eastAsia="宋体" w:cs="宋体"/>
                <w:color w:val="000000" w:themeColor="text1"/>
                <w:kern w:val="2"/>
                <w14:textFill>
                  <w14:solidFill>
                    <w14:schemeClr w14:val="tx1"/>
                  </w14:solidFill>
                </w14:textFill>
              </w:rPr>
              <w:t>H1</w:t>
            </w:r>
          </w:p>
        </w:tc>
        <w:tc>
          <w:tcPr>
            <w:tcW w:w="1677" w:type="dxa"/>
            <w:tcBorders>
              <w:top w:val="single" w:color="000000" w:sz="8" w:space="0"/>
              <w:left w:val="single" w:color="000000" w:sz="8" w:space="0"/>
              <w:bottom w:val="single" w:color="000000" w:sz="8" w:space="0"/>
              <w:right w:val="single" w:color="000000" w:sz="8" w:space="0"/>
            </w:tcBorders>
            <w:vAlign w:val="center"/>
          </w:tcPr>
          <w:p>
            <w:pPr>
              <w:pStyle w:val="53"/>
              <w:rPr>
                <w:rFonts w:ascii="Times New Roman" w:eastAsia="宋体" w:cs="宋体"/>
                <w:color w:val="000000" w:themeColor="text1"/>
                <w14:textFill>
                  <w14:solidFill>
                    <w14:schemeClr w14:val="tx1"/>
                  </w14:solidFill>
                </w14:textFill>
              </w:rPr>
            </w:pPr>
            <w:r>
              <w:rPr>
                <w:rFonts w:hint="eastAsia" w:ascii="Times New Roman" w:eastAsia="宋体" w:cs="宋体"/>
                <w:color w:val="000000" w:themeColor="text1"/>
                <w14:textFill>
                  <w14:solidFill>
                    <w14:schemeClr w14:val="tx1"/>
                  </w14:solidFill>
                </w14:textFill>
              </w:rPr>
              <w:t>操作者可能会对软件的错误使用</w:t>
            </w:r>
          </w:p>
        </w:tc>
        <w:tc>
          <w:tcPr>
            <w:tcW w:w="1701" w:type="dxa"/>
            <w:tcBorders>
              <w:top w:val="single" w:color="000000" w:sz="8" w:space="0"/>
              <w:left w:val="single" w:color="000000" w:sz="8" w:space="0"/>
              <w:bottom w:val="single" w:color="000000" w:sz="8" w:space="0"/>
              <w:right w:val="single" w:color="000000" w:sz="8" w:space="0"/>
            </w:tcBorders>
            <w:vAlign w:val="center"/>
          </w:tcPr>
          <w:p>
            <w:pPr>
              <w:pStyle w:val="53"/>
              <w:jc w:val="both"/>
              <w:rPr>
                <w:rFonts w:ascii="Times New Roman" w:eastAsia="宋体" w:cs="宋体"/>
                <w:color w:val="000000" w:themeColor="text1"/>
                <w14:textFill>
                  <w14:solidFill>
                    <w14:schemeClr w14:val="tx1"/>
                  </w14:solidFill>
                </w14:textFill>
              </w:rPr>
            </w:pPr>
            <w:r>
              <w:rPr>
                <w:rFonts w:hint="eastAsia" w:ascii="Times New Roman" w:eastAsia="宋体" w:cs="宋体"/>
                <w:color w:val="000000" w:themeColor="text1"/>
                <w14:textFill>
                  <w14:solidFill>
                    <w14:schemeClr w14:val="tx1"/>
                  </w14:solidFill>
                </w14:textFill>
              </w:rPr>
              <w:t>判读错误</w:t>
            </w:r>
          </w:p>
        </w:tc>
        <w:tc>
          <w:tcPr>
            <w:tcW w:w="2465" w:type="dxa"/>
            <w:tcBorders>
              <w:top w:val="single" w:color="000000" w:sz="8" w:space="0"/>
              <w:left w:val="single" w:color="000000" w:sz="8" w:space="0"/>
              <w:bottom w:val="single" w:color="000000" w:sz="8" w:space="0"/>
              <w:right w:val="single" w:color="000000" w:sz="8" w:space="0"/>
            </w:tcBorders>
            <w:vAlign w:val="center"/>
          </w:tcPr>
          <w:p>
            <w:pPr>
              <w:pStyle w:val="53"/>
              <w:jc w:val="both"/>
              <w:rPr>
                <w:rFonts w:ascii="Times New Roman" w:eastAsia="宋体" w:cs="宋体"/>
                <w:color w:val="000000" w:themeColor="text1"/>
                <w14:textFill>
                  <w14:solidFill>
                    <w14:schemeClr w14:val="tx1"/>
                  </w14:solidFill>
                </w14:textFill>
              </w:rPr>
            </w:pPr>
            <w:r>
              <w:rPr>
                <w:rFonts w:hint="eastAsia" w:ascii="Times New Roman" w:eastAsia="宋体" w:cs="宋体"/>
                <w:color w:val="000000" w:themeColor="text1"/>
                <w14:textFill>
                  <w14:solidFill>
                    <w14:schemeClr w14:val="tx1"/>
                  </w14:solidFill>
                </w14:textFill>
              </w:rPr>
              <w:t>使用后引起错误的诊断或不能诊断</w:t>
            </w:r>
          </w:p>
        </w:tc>
        <w:tc>
          <w:tcPr>
            <w:tcW w:w="901" w:type="dxa"/>
            <w:gridSpan w:val="3"/>
            <w:tcBorders>
              <w:top w:val="single" w:color="000000" w:sz="8" w:space="0"/>
              <w:left w:val="single" w:color="000000" w:sz="8" w:space="0"/>
              <w:bottom w:val="single" w:color="000000" w:sz="8" w:space="0"/>
              <w:right w:val="single" w:color="000000" w:sz="8" w:space="0"/>
            </w:tcBorders>
            <w:vAlign w:val="center"/>
          </w:tcPr>
          <w:p>
            <w:pPr>
              <w:jc w:val="center"/>
              <w:rPr>
                <w:rFonts w:cs="宋体"/>
                <w:color w:val="000000" w:themeColor="text1"/>
                <w:sz w:val="24"/>
                <w14:textFill>
                  <w14:solidFill>
                    <w14:schemeClr w14:val="tx1"/>
                  </w14:solidFill>
                </w14:textFill>
              </w:rPr>
            </w:pPr>
            <w:r>
              <w:rPr>
                <w:rFonts w:hint="eastAsia" w:cs="宋体"/>
                <w:color w:val="000000" w:themeColor="text1"/>
                <w:sz w:val="24"/>
                <w14:textFill>
                  <w14:solidFill>
                    <w14:schemeClr w14:val="tx1"/>
                  </w14:solidFill>
                </w14:textFill>
              </w:rPr>
              <w:t>S2</w:t>
            </w:r>
          </w:p>
        </w:tc>
        <w:tc>
          <w:tcPr>
            <w:tcW w:w="842" w:type="dxa"/>
            <w:tcBorders>
              <w:top w:val="single" w:color="000000" w:sz="8" w:space="0"/>
              <w:left w:val="single" w:color="000000" w:sz="8" w:space="0"/>
              <w:bottom w:val="single" w:color="000000" w:sz="8" w:space="0"/>
              <w:right w:val="single" w:color="000000" w:sz="8" w:space="0"/>
            </w:tcBorders>
            <w:vAlign w:val="center"/>
          </w:tcPr>
          <w:p>
            <w:pPr>
              <w:spacing w:after="156" w:afterLines="50" w:line="460" w:lineRule="exact"/>
              <w:jc w:val="center"/>
              <w:rPr>
                <w:rFonts w:cs="宋体"/>
                <w:color w:val="000000" w:themeColor="text1"/>
                <w:sz w:val="24"/>
                <w14:textFill>
                  <w14:solidFill>
                    <w14:schemeClr w14:val="tx1"/>
                  </w14:solidFill>
                </w14:textFill>
              </w:rPr>
            </w:pPr>
            <w:r>
              <w:rPr>
                <w:rFonts w:hint="eastAsia" w:cs="宋体"/>
                <w:color w:val="000000" w:themeColor="text1"/>
                <w:sz w:val="24"/>
                <w14:textFill>
                  <w14:solidFill>
                    <w14:schemeClr w14:val="tx1"/>
                  </w14:solidFill>
                </w14:textFill>
              </w:rPr>
              <w:t>P4</w:t>
            </w:r>
          </w:p>
        </w:tc>
        <w:tc>
          <w:tcPr>
            <w:tcW w:w="848" w:type="dxa"/>
            <w:tcBorders>
              <w:top w:val="single" w:color="000000" w:sz="8" w:space="0"/>
              <w:left w:val="single" w:color="000000" w:sz="8" w:space="0"/>
              <w:bottom w:val="single" w:color="000000" w:sz="8" w:space="0"/>
              <w:right w:val="single" w:color="000000" w:sz="8" w:space="0"/>
            </w:tcBorders>
            <w:vAlign w:val="center"/>
          </w:tcPr>
          <w:p>
            <w:pPr>
              <w:spacing w:after="156" w:afterLines="50" w:line="460" w:lineRule="exact"/>
              <w:jc w:val="center"/>
              <w:rPr>
                <w:rFonts w:cs="宋体"/>
                <w:color w:val="000000" w:themeColor="text1"/>
                <w:sz w:val="24"/>
                <w14:textFill>
                  <w14:solidFill>
                    <w14:schemeClr w14:val="tx1"/>
                  </w14:solidFill>
                </w14:textFill>
              </w:rPr>
            </w:pPr>
            <w:r>
              <w:rPr>
                <w:rFonts w:hint="eastAsia" w:cs="宋体"/>
                <w:color w:val="000000" w:themeColor="text1"/>
                <w:sz w:val="24"/>
                <w14:textFill>
                  <w14:solidFill>
                    <w14:schemeClr w14:val="tx1"/>
                  </w14:solidFill>
                </w14:textFill>
              </w:rPr>
              <w:t>ALARP</w:t>
            </w:r>
          </w:p>
        </w:tc>
      </w:tr>
      <w:tr>
        <w:tblPrEx>
          <w:tblCellMar>
            <w:top w:w="0" w:type="dxa"/>
            <w:left w:w="108" w:type="dxa"/>
            <w:bottom w:w="0" w:type="dxa"/>
            <w:right w:w="108" w:type="dxa"/>
          </w:tblCellMar>
        </w:tblPrEx>
        <w:trPr>
          <w:cantSplit/>
          <w:jc w:val="center"/>
        </w:trPr>
        <w:tc>
          <w:tcPr>
            <w:tcW w:w="1098" w:type="dxa"/>
            <w:tcBorders>
              <w:top w:val="single" w:color="000000" w:sz="8" w:space="0"/>
              <w:left w:val="single" w:color="000000" w:sz="8" w:space="0"/>
              <w:bottom w:val="single" w:color="000000" w:sz="8" w:space="0"/>
              <w:right w:val="single" w:color="000000" w:sz="8" w:space="0"/>
            </w:tcBorders>
            <w:vAlign w:val="center"/>
          </w:tcPr>
          <w:p>
            <w:pPr>
              <w:pStyle w:val="53"/>
              <w:jc w:val="center"/>
              <w:rPr>
                <w:rFonts w:ascii="Times New Roman" w:eastAsia="宋体" w:cs="宋体"/>
                <w:color w:val="000000" w:themeColor="text1"/>
                <w14:textFill>
                  <w14:solidFill>
                    <w14:schemeClr w14:val="tx1"/>
                  </w14:solidFill>
                </w14:textFill>
              </w:rPr>
            </w:pPr>
            <w:r>
              <w:rPr>
                <w:rFonts w:hint="eastAsia" w:ascii="Times New Roman" w:eastAsia="宋体" w:cs="宋体"/>
                <w:color w:val="000000" w:themeColor="text1"/>
                <w:kern w:val="2"/>
                <w14:textFill>
                  <w14:solidFill>
                    <w14:schemeClr w14:val="tx1"/>
                  </w14:solidFill>
                </w14:textFill>
              </w:rPr>
              <w:t>操作危害</w:t>
            </w:r>
          </w:p>
        </w:tc>
        <w:tc>
          <w:tcPr>
            <w:tcW w:w="733" w:type="dxa"/>
            <w:tcBorders>
              <w:top w:val="single" w:color="000000" w:sz="8" w:space="0"/>
              <w:left w:val="single" w:color="000000" w:sz="8" w:space="0"/>
              <w:bottom w:val="single" w:color="000000" w:sz="8" w:space="0"/>
              <w:right w:val="single" w:color="000000" w:sz="8" w:space="0"/>
            </w:tcBorders>
            <w:vAlign w:val="center"/>
          </w:tcPr>
          <w:p>
            <w:pPr>
              <w:pStyle w:val="53"/>
              <w:jc w:val="center"/>
              <w:rPr>
                <w:rFonts w:ascii="Times New Roman" w:eastAsia="宋体" w:cs="宋体"/>
                <w:color w:val="000000" w:themeColor="text1"/>
                <w:kern w:val="2"/>
                <w14:textFill>
                  <w14:solidFill>
                    <w14:schemeClr w14:val="tx1"/>
                  </w14:solidFill>
                </w14:textFill>
              </w:rPr>
            </w:pPr>
            <w:r>
              <w:rPr>
                <w:rFonts w:hint="eastAsia" w:ascii="Times New Roman" w:eastAsia="宋体" w:cs="宋体"/>
                <w:color w:val="000000" w:themeColor="text1"/>
                <w:kern w:val="2"/>
                <w14:textFill>
                  <w14:solidFill>
                    <w14:schemeClr w14:val="tx1"/>
                  </w14:solidFill>
                </w14:textFill>
              </w:rPr>
              <w:t>H2</w:t>
            </w:r>
          </w:p>
        </w:tc>
        <w:tc>
          <w:tcPr>
            <w:tcW w:w="1677" w:type="dxa"/>
            <w:tcBorders>
              <w:top w:val="single" w:color="000000" w:sz="8" w:space="0"/>
              <w:left w:val="single" w:color="000000" w:sz="8" w:space="0"/>
              <w:bottom w:val="single" w:color="000000" w:sz="8" w:space="0"/>
              <w:right w:val="single" w:color="000000" w:sz="8" w:space="0"/>
            </w:tcBorders>
            <w:vAlign w:val="center"/>
          </w:tcPr>
          <w:p>
            <w:pPr>
              <w:pStyle w:val="53"/>
              <w:rPr>
                <w:rFonts w:ascii="Times New Roman" w:eastAsia="宋体" w:cs="宋体"/>
                <w:color w:val="000000" w:themeColor="text1"/>
                <w14:textFill>
                  <w14:solidFill>
                    <w14:schemeClr w14:val="tx1"/>
                  </w14:solidFill>
                </w14:textFill>
              </w:rPr>
            </w:pPr>
            <w:r>
              <w:rPr>
                <w:rFonts w:hint="eastAsia" w:ascii="Times New Roman" w:eastAsia="宋体" w:cs="宋体"/>
                <w:color w:val="000000" w:themeColor="text1"/>
                <w14:textFill>
                  <w14:solidFill>
                    <w14:schemeClr w14:val="tx1"/>
                  </w14:solidFill>
                </w14:textFill>
              </w:rPr>
              <w:t>专业人员维护失误</w:t>
            </w:r>
          </w:p>
        </w:tc>
        <w:tc>
          <w:tcPr>
            <w:tcW w:w="1701" w:type="dxa"/>
            <w:tcBorders>
              <w:top w:val="single" w:color="000000" w:sz="8" w:space="0"/>
              <w:left w:val="single" w:color="000000" w:sz="8" w:space="0"/>
              <w:bottom w:val="single" w:color="000000" w:sz="8" w:space="0"/>
              <w:right w:val="single" w:color="000000" w:sz="8" w:space="0"/>
            </w:tcBorders>
            <w:vAlign w:val="center"/>
          </w:tcPr>
          <w:p>
            <w:pPr>
              <w:pStyle w:val="53"/>
              <w:jc w:val="both"/>
              <w:rPr>
                <w:rFonts w:ascii="Times New Roman" w:eastAsia="宋体" w:cs="宋体"/>
                <w:color w:val="000000" w:themeColor="text1"/>
                <w14:textFill>
                  <w14:solidFill>
                    <w14:schemeClr w14:val="tx1"/>
                  </w14:solidFill>
                </w14:textFill>
              </w:rPr>
            </w:pPr>
            <w:r>
              <w:rPr>
                <w:rFonts w:hint="eastAsia" w:ascii="Times New Roman" w:eastAsia="宋体" w:cs="宋体"/>
                <w:color w:val="000000" w:themeColor="text1"/>
                <w14:textFill>
                  <w14:solidFill>
                    <w14:schemeClr w14:val="tx1"/>
                  </w14:solidFill>
                </w14:textFill>
              </w:rPr>
              <w:t>软件异常</w:t>
            </w:r>
          </w:p>
        </w:tc>
        <w:tc>
          <w:tcPr>
            <w:tcW w:w="2465" w:type="dxa"/>
            <w:tcBorders>
              <w:top w:val="single" w:color="000000" w:sz="8" w:space="0"/>
              <w:left w:val="single" w:color="000000" w:sz="8" w:space="0"/>
              <w:bottom w:val="single" w:color="000000" w:sz="8" w:space="0"/>
              <w:right w:val="single" w:color="000000" w:sz="8" w:space="0"/>
            </w:tcBorders>
            <w:vAlign w:val="center"/>
          </w:tcPr>
          <w:p>
            <w:pPr>
              <w:pStyle w:val="53"/>
              <w:jc w:val="both"/>
              <w:rPr>
                <w:rFonts w:ascii="Times New Roman" w:eastAsia="宋体" w:cs="宋体"/>
                <w:color w:val="000000" w:themeColor="text1"/>
                <w14:textFill>
                  <w14:solidFill>
                    <w14:schemeClr w14:val="tx1"/>
                  </w14:solidFill>
                </w14:textFill>
              </w:rPr>
            </w:pPr>
            <w:r>
              <w:rPr>
                <w:rFonts w:hint="eastAsia" w:ascii="Times New Roman" w:eastAsia="宋体" w:cs="宋体"/>
                <w:color w:val="000000" w:themeColor="text1"/>
                <w14:textFill>
                  <w14:solidFill>
                    <w14:schemeClr w14:val="tx1"/>
                  </w14:solidFill>
                </w14:textFill>
              </w:rPr>
              <w:t>不能正确使用或诊断错误</w:t>
            </w:r>
          </w:p>
        </w:tc>
        <w:tc>
          <w:tcPr>
            <w:tcW w:w="901" w:type="dxa"/>
            <w:gridSpan w:val="3"/>
            <w:tcBorders>
              <w:top w:val="single" w:color="000000" w:sz="8" w:space="0"/>
              <w:left w:val="single" w:color="000000" w:sz="8" w:space="0"/>
              <w:bottom w:val="single" w:color="000000" w:sz="8" w:space="0"/>
              <w:right w:val="single" w:color="000000" w:sz="8" w:space="0"/>
            </w:tcBorders>
            <w:vAlign w:val="center"/>
          </w:tcPr>
          <w:p>
            <w:pPr>
              <w:jc w:val="center"/>
              <w:rPr>
                <w:rFonts w:cs="宋体"/>
                <w:color w:val="000000" w:themeColor="text1"/>
                <w:sz w:val="24"/>
                <w14:textFill>
                  <w14:solidFill>
                    <w14:schemeClr w14:val="tx1"/>
                  </w14:solidFill>
                </w14:textFill>
              </w:rPr>
            </w:pPr>
            <w:r>
              <w:rPr>
                <w:rFonts w:hint="eastAsia" w:cs="宋体"/>
                <w:color w:val="000000" w:themeColor="text1"/>
                <w:sz w:val="24"/>
                <w14:textFill>
                  <w14:solidFill>
                    <w14:schemeClr w14:val="tx1"/>
                  </w14:solidFill>
                </w14:textFill>
              </w:rPr>
              <w:t>S2</w:t>
            </w:r>
          </w:p>
        </w:tc>
        <w:tc>
          <w:tcPr>
            <w:tcW w:w="842" w:type="dxa"/>
            <w:tcBorders>
              <w:top w:val="single" w:color="000000" w:sz="8" w:space="0"/>
              <w:left w:val="single" w:color="000000" w:sz="8" w:space="0"/>
              <w:bottom w:val="single" w:color="000000" w:sz="8" w:space="0"/>
              <w:right w:val="single" w:color="000000" w:sz="8" w:space="0"/>
            </w:tcBorders>
            <w:vAlign w:val="center"/>
          </w:tcPr>
          <w:p>
            <w:pPr>
              <w:spacing w:after="156" w:afterLines="50" w:line="460" w:lineRule="exact"/>
              <w:jc w:val="center"/>
              <w:rPr>
                <w:rFonts w:cs="宋体"/>
                <w:color w:val="000000" w:themeColor="text1"/>
                <w:sz w:val="24"/>
                <w14:textFill>
                  <w14:solidFill>
                    <w14:schemeClr w14:val="tx1"/>
                  </w14:solidFill>
                </w14:textFill>
              </w:rPr>
            </w:pPr>
            <w:r>
              <w:rPr>
                <w:rFonts w:hint="eastAsia" w:cs="宋体"/>
                <w:color w:val="000000" w:themeColor="text1"/>
                <w:sz w:val="24"/>
                <w14:textFill>
                  <w14:solidFill>
                    <w14:schemeClr w14:val="tx1"/>
                  </w14:solidFill>
                </w14:textFill>
              </w:rPr>
              <w:t>P3</w:t>
            </w:r>
          </w:p>
        </w:tc>
        <w:tc>
          <w:tcPr>
            <w:tcW w:w="848" w:type="dxa"/>
            <w:tcBorders>
              <w:top w:val="single" w:color="000000" w:sz="8" w:space="0"/>
              <w:left w:val="single" w:color="000000" w:sz="8" w:space="0"/>
              <w:bottom w:val="single" w:color="000000" w:sz="8" w:space="0"/>
              <w:right w:val="single" w:color="000000" w:sz="8" w:space="0"/>
            </w:tcBorders>
            <w:vAlign w:val="center"/>
          </w:tcPr>
          <w:p>
            <w:pPr>
              <w:spacing w:after="156" w:afterLines="50" w:line="460" w:lineRule="exact"/>
              <w:jc w:val="center"/>
              <w:rPr>
                <w:rFonts w:cs="宋体"/>
                <w:color w:val="000000" w:themeColor="text1"/>
                <w:sz w:val="24"/>
                <w14:textFill>
                  <w14:solidFill>
                    <w14:schemeClr w14:val="tx1"/>
                  </w14:solidFill>
                </w14:textFill>
              </w:rPr>
            </w:pPr>
            <w:r>
              <w:rPr>
                <w:rFonts w:hint="eastAsia" w:cs="宋体"/>
                <w:color w:val="000000" w:themeColor="text1"/>
                <w:sz w:val="24"/>
                <w14:textFill>
                  <w14:solidFill>
                    <w14:schemeClr w14:val="tx1"/>
                  </w14:solidFill>
                </w14:textFill>
              </w:rPr>
              <w:t>ALARP</w:t>
            </w:r>
          </w:p>
        </w:tc>
      </w:tr>
      <w:tr>
        <w:tblPrEx>
          <w:tblCellMar>
            <w:top w:w="0" w:type="dxa"/>
            <w:left w:w="108" w:type="dxa"/>
            <w:bottom w:w="0" w:type="dxa"/>
            <w:right w:w="108" w:type="dxa"/>
          </w:tblCellMar>
        </w:tblPrEx>
        <w:trPr>
          <w:cantSplit/>
          <w:jc w:val="center"/>
        </w:trPr>
        <w:tc>
          <w:tcPr>
            <w:tcW w:w="1098" w:type="dxa"/>
            <w:tcBorders>
              <w:top w:val="single" w:color="auto" w:sz="4" w:space="0"/>
              <w:left w:val="single" w:color="auto" w:sz="4" w:space="0"/>
              <w:bottom w:val="single" w:color="auto" w:sz="4" w:space="0"/>
              <w:right w:val="single" w:color="auto" w:sz="4" w:space="0"/>
            </w:tcBorders>
            <w:vAlign w:val="center"/>
          </w:tcPr>
          <w:p>
            <w:pPr>
              <w:pStyle w:val="53"/>
              <w:jc w:val="center"/>
              <w:rPr>
                <w:rFonts w:ascii="Times New Roman" w:eastAsia="宋体" w:cs="宋体"/>
                <w:color w:val="000000" w:themeColor="text1"/>
                <w14:textFill>
                  <w14:solidFill>
                    <w14:schemeClr w14:val="tx1"/>
                  </w14:solidFill>
                </w14:textFill>
              </w:rPr>
            </w:pPr>
            <w:r>
              <w:rPr>
                <w:rFonts w:hint="eastAsia" w:ascii="Times New Roman" w:eastAsia="宋体" w:cs="宋体"/>
                <w:color w:val="000000" w:themeColor="text1"/>
                <w14:textFill>
                  <w14:solidFill>
                    <w14:schemeClr w14:val="tx1"/>
                  </w14:solidFill>
                </w14:textFill>
              </w:rPr>
              <w:t>操作危害</w:t>
            </w:r>
          </w:p>
        </w:tc>
        <w:tc>
          <w:tcPr>
            <w:tcW w:w="733" w:type="dxa"/>
            <w:tcBorders>
              <w:top w:val="single" w:color="auto" w:sz="4" w:space="0"/>
              <w:left w:val="single" w:color="auto" w:sz="4" w:space="0"/>
              <w:bottom w:val="single" w:color="auto" w:sz="4" w:space="0"/>
              <w:right w:val="single" w:color="auto" w:sz="4" w:space="0"/>
            </w:tcBorders>
            <w:vAlign w:val="center"/>
          </w:tcPr>
          <w:p>
            <w:pPr>
              <w:pStyle w:val="53"/>
              <w:jc w:val="center"/>
              <w:rPr>
                <w:rFonts w:ascii="Times New Roman" w:eastAsia="宋体" w:cs="宋体"/>
                <w:color w:val="000000" w:themeColor="text1"/>
                <w14:textFill>
                  <w14:solidFill>
                    <w14:schemeClr w14:val="tx1"/>
                  </w14:solidFill>
                </w14:textFill>
              </w:rPr>
            </w:pPr>
            <w:r>
              <w:rPr>
                <w:rFonts w:hint="eastAsia" w:ascii="Times New Roman" w:eastAsia="宋体" w:cs="宋体"/>
                <w:color w:val="000000" w:themeColor="text1"/>
                <w:kern w:val="2"/>
                <w14:textFill>
                  <w14:solidFill>
                    <w14:schemeClr w14:val="tx1"/>
                  </w14:solidFill>
                </w14:textFill>
              </w:rPr>
              <w:t>H3</w:t>
            </w:r>
          </w:p>
        </w:tc>
        <w:tc>
          <w:tcPr>
            <w:tcW w:w="1677" w:type="dxa"/>
            <w:tcBorders>
              <w:top w:val="single" w:color="auto" w:sz="4" w:space="0"/>
              <w:left w:val="single" w:color="auto" w:sz="4" w:space="0"/>
              <w:bottom w:val="single" w:color="auto" w:sz="4" w:space="0"/>
              <w:right w:val="single" w:color="auto" w:sz="4" w:space="0"/>
            </w:tcBorders>
            <w:vAlign w:val="center"/>
          </w:tcPr>
          <w:p>
            <w:pPr>
              <w:pStyle w:val="53"/>
              <w:jc w:val="both"/>
              <w:rPr>
                <w:rFonts w:ascii="Times New Roman" w:eastAsia="宋体" w:cs="宋体"/>
                <w:color w:val="000000" w:themeColor="text1"/>
                <w14:textFill>
                  <w14:solidFill>
                    <w14:schemeClr w14:val="tx1"/>
                  </w14:solidFill>
                </w14:textFill>
              </w:rPr>
            </w:pPr>
            <w:r>
              <w:rPr>
                <w:rFonts w:hint="eastAsia" w:ascii="Times New Roman" w:eastAsia="宋体" w:cs="宋体"/>
                <w:color w:val="000000" w:themeColor="text1"/>
                <w14:textFill>
                  <w14:solidFill>
                    <w14:schemeClr w14:val="tx1"/>
                  </w14:solidFill>
                </w14:textFill>
              </w:rPr>
              <w:t>由于没有安装导致操作者找不到正确网址</w:t>
            </w:r>
          </w:p>
        </w:tc>
        <w:tc>
          <w:tcPr>
            <w:tcW w:w="1701" w:type="dxa"/>
            <w:tcBorders>
              <w:top w:val="single" w:color="auto" w:sz="4" w:space="0"/>
              <w:left w:val="single" w:color="auto" w:sz="4" w:space="0"/>
              <w:bottom w:val="single" w:color="auto" w:sz="4" w:space="0"/>
              <w:right w:val="single" w:color="auto" w:sz="4" w:space="0"/>
            </w:tcBorders>
            <w:vAlign w:val="center"/>
          </w:tcPr>
          <w:p>
            <w:pPr>
              <w:pStyle w:val="53"/>
              <w:jc w:val="both"/>
              <w:rPr>
                <w:rFonts w:ascii="Times New Roman" w:eastAsia="宋体" w:cs="宋体"/>
                <w:color w:val="000000" w:themeColor="text1"/>
                <w14:textFill>
                  <w14:solidFill>
                    <w14:schemeClr w14:val="tx1"/>
                  </w14:solidFill>
                </w14:textFill>
              </w:rPr>
            </w:pPr>
            <w:r>
              <w:rPr>
                <w:rFonts w:hint="eastAsia" w:ascii="Times New Roman" w:eastAsia="宋体" w:cs="宋体"/>
                <w:color w:val="000000" w:themeColor="text1"/>
                <w14:textFill>
                  <w14:solidFill>
                    <w14:schemeClr w14:val="tx1"/>
                  </w14:solidFill>
                </w14:textFill>
              </w:rPr>
              <w:t>不能正常使用</w:t>
            </w:r>
          </w:p>
        </w:tc>
        <w:tc>
          <w:tcPr>
            <w:tcW w:w="2465" w:type="dxa"/>
            <w:tcBorders>
              <w:top w:val="single" w:color="auto" w:sz="4" w:space="0"/>
              <w:left w:val="single" w:color="auto" w:sz="4" w:space="0"/>
              <w:bottom w:val="single" w:color="auto" w:sz="4" w:space="0"/>
              <w:right w:val="single" w:color="auto" w:sz="4" w:space="0"/>
            </w:tcBorders>
            <w:vAlign w:val="center"/>
          </w:tcPr>
          <w:p>
            <w:pPr>
              <w:pStyle w:val="53"/>
              <w:jc w:val="both"/>
              <w:rPr>
                <w:rFonts w:ascii="Times New Roman" w:eastAsia="宋体" w:cs="宋体"/>
                <w:color w:val="000000" w:themeColor="text1"/>
                <w14:textFill>
                  <w14:solidFill>
                    <w14:schemeClr w14:val="tx1"/>
                  </w14:solidFill>
                </w14:textFill>
              </w:rPr>
            </w:pPr>
            <w:r>
              <w:rPr>
                <w:rFonts w:hint="eastAsia" w:ascii="Times New Roman" w:eastAsia="宋体" w:cs="宋体"/>
                <w:color w:val="000000" w:themeColor="text1"/>
                <w14:textFill>
                  <w14:solidFill>
                    <w14:schemeClr w14:val="tx1"/>
                  </w14:solidFill>
                </w14:textFill>
              </w:rPr>
              <w:t>使用后引起错误的诊断或不能诊断</w:t>
            </w:r>
          </w:p>
        </w:tc>
        <w:tc>
          <w:tcPr>
            <w:tcW w:w="901" w:type="dxa"/>
            <w:gridSpan w:val="3"/>
            <w:tcBorders>
              <w:top w:val="single" w:color="auto" w:sz="4" w:space="0"/>
              <w:left w:val="single" w:color="auto" w:sz="4" w:space="0"/>
              <w:bottom w:val="single" w:color="auto" w:sz="4" w:space="0"/>
              <w:right w:val="single" w:color="auto" w:sz="4" w:space="0"/>
            </w:tcBorders>
            <w:vAlign w:val="center"/>
          </w:tcPr>
          <w:p>
            <w:pPr>
              <w:jc w:val="center"/>
              <w:rPr>
                <w:rFonts w:cs="宋体"/>
                <w:color w:val="000000" w:themeColor="text1"/>
                <w:sz w:val="24"/>
                <w14:textFill>
                  <w14:solidFill>
                    <w14:schemeClr w14:val="tx1"/>
                  </w14:solidFill>
                </w14:textFill>
              </w:rPr>
            </w:pPr>
            <w:r>
              <w:rPr>
                <w:rFonts w:hint="eastAsia" w:cs="宋体"/>
                <w:color w:val="000000" w:themeColor="text1"/>
                <w:sz w:val="24"/>
                <w14:textFill>
                  <w14:solidFill>
                    <w14:schemeClr w14:val="tx1"/>
                  </w14:solidFill>
                </w14:textFill>
              </w:rPr>
              <w:t>S1</w:t>
            </w:r>
          </w:p>
        </w:tc>
        <w:tc>
          <w:tcPr>
            <w:tcW w:w="842" w:type="dxa"/>
            <w:tcBorders>
              <w:top w:val="single" w:color="auto" w:sz="4" w:space="0"/>
              <w:left w:val="single" w:color="auto" w:sz="4" w:space="0"/>
              <w:bottom w:val="single" w:color="auto" w:sz="4" w:space="0"/>
              <w:right w:val="single" w:color="auto" w:sz="4" w:space="0"/>
            </w:tcBorders>
            <w:vAlign w:val="center"/>
          </w:tcPr>
          <w:p>
            <w:pPr>
              <w:spacing w:after="156" w:afterLines="50" w:line="460" w:lineRule="exact"/>
              <w:jc w:val="center"/>
              <w:rPr>
                <w:rFonts w:cs="宋体"/>
                <w:color w:val="000000" w:themeColor="text1"/>
                <w:sz w:val="24"/>
                <w14:textFill>
                  <w14:solidFill>
                    <w14:schemeClr w14:val="tx1"/>
                  </w14:solidFill>
                </w14:textFill>
              </w:rPr>
            </w:pPr>
            <w:r>
              <w:rPr>
                <w:rFonts w:hint="eastAsia" w:cs="宋体"/>
                <w:color w:val="000000" w:themeColor="text1"/>
                <w:sz w:val="24"/>
                <w14:textFill>
                  <w14:solidFill>
                    <w14:schemeClr w14:val="tx1"/>
                  </w14:solidFill>
                </w14:textFill>
              </w:rPr>
              <w:t>P3</w:t>
            </w:r>
          </w:p>
        </w:tc>
        <w:tc>
          <w:tcPr>
            <w:tcW w:w="848" w:type="dxa"/>
            <w:tcBorders>
              <w:top w:val="single" w:color="auto" w:sz="4" w:space="0"/>
              <w:left w:val="single" w:color="auto" w:sz="4" w:space="0"/>
              <w:bottom w:val="single" w:color="auto" w:sz="4" w:space="0"/>
              <w:right w:val="single" w:color="auto" w:sz="4" w:space="0"/>
            </w:tcBorders>
            <w:vAlign w:val="center"/>
          </w:tcPr>
          <w:p>
            <w:pPr>
              <w:spacing w:after="156" w:afterLines="50" w:line="460" w:lineRule="exact"/>
              <w:rPr>
                <w:rFonts w:cs="宋体"/>
                <w:b/>
                <w:color w:val="000000" w:themeColor="text1"/>
                <w:sz w:val="24"/>
                <w14:textFill>
                  <w14:solidFill>
                    <w14:schemeClr w14:val="tx1"/>
                  </w14:solidFill>
                </w14:textFill>
              </w:rPr>
            </w:pPr>
            <w:r>
              <w:rPr>
                <w:rFonts w:hint="eastAsia" w:cs="宋体"/>
                <w:bCs/>
                <w:color w:val="000000" w:themeColor="text1"/>
                <w:sz w:val="24"/>
                <w14:textFill>
                  <w14:solidFill>
                    <w14:schemeClr w14:val="tx1"/>
                  </w14:solidFill>
                </w14:textFill>
              </w:rPr>
              <w:t>ACC</w:t>
            </w:r>
          </w:p>
        </w:tc>
      </w:tr>
      <w:tr>
        <w:tblPrEx>
          <w:tblCellMar>
            <w:top w:w="0" w:type="dxa"/>
            <w:left w:w="108" w:type="dxa"/>
            <w:bottom w:w="0" w:type="dxa"/>
            <w:right w:w="108" w:type="dxa"/>
          </w:tblCellMar>
        </w:tblPrEx>
        <w:trPr>
          <w:cantSplit/>
          <w:jc w:val="center"/>
        </w:trPr>
        <w:tc>
          <w:tcPr>
            <w:tcW w:w="1098" w:type="dxa"/>
            <w:tcBorders>
              <w:top w:val="single" w:color="auto" w:sz="4" w:space="0"/>
              <w:left w:val="single" w:color="auto" w:sz="4" w:space="0"/>
              <w:bottom w:val="single" w:color="auto" w:sz="4" w:space="0"/>
              <w:right w:val="single" w:color="auto" w:sz="4" w:space="0"/>
            </w:tcBorders>
            <w:vAlign w:val="center"/>
          </w:tcPr>
          <w:p>
            <w:pPr>
              <w:pStyle w:val="53"/>
              <w:jc w:val="center"/>
              <w:rPr>
                <w:rFonts w:ascii="Times New Roman" w:eastAsia="宋体" w:cs="宋体"/>
                <w:color w:val="000000" w:themeColor="text1"/>
                <w14:textFill>
                  <w14:solidFill>
                    <w14:schemeClr w14:val="tx1"/>
                  </w14:solidFill>
                </w14:textFill>
              </w:rPr>
            </w:pPr>
            <w:r>
              <w:rPr>
                <w:rFonts w:hint="eastAsia" w:ascii="Times New Roman" w:eastAsia="宋体" w:cs="宋体"/>
                <w:color w:val="000000" w:themeColor="text1"/>
                <w14:textFill>
                  <w14:solidFill>
                    <w14:schemeClr w14:val="tx1"/>
                  </w14:solidFill>
                </w14:textFill>
              </w:rPr>
              <w:t>信息危害（违反常规）</w:t>
            </w:r>
          </w:p>
        </w:tc>
        <w:tc>
          <w:tcPr>
            <w:tcW w:w="733" w:type="dxa"/>
            <w:tcBorders>
              <w:top w:val="single" w:color="auto" w:sz="4" w:space="0"/>
              <w:left w:val="single" w:color="auto" w:sz="4" w:space="0"/>
              <w:bottom w:val="single" w:color="auto" w:sz="4" w:space="0"/>
              <w:right w:val="single" w:color="auto" w:sz="4" w:space="0"/>
            </w:tcBorders>
            <w:vAlign w:val="center"/>
          </w:tcPr>
          <w:p>
            <w:pPr>
              <w:pStyle w:val="53"/>
              <w:jc w:val="center"/>
              <w:rPr>
                <w:rFonts w:ascii="Times New Roman" w:eastAsia="宋体" w:cs="宋体"/>
                <w:color w:val="000000" w:themeColor="text1"/>
                <w:kern w:val="2"/>
                <w14:textFill>
                  <w14:solidFill>
                    <w14:schemeClr w14:val="tx1"/>
                  </w14:solidFill>
                </w14:textFill>
              </w:rPr>
            </w:pPr>
            <w:r>
              <w:rPr>
                <w:rFonts w:hint="eastAsia" w:ascii="Times New Roman" w:eastAsia="宋体" w:cs="宋体"/>
                <w:color w:val="000000" w:themeColor="text1"/>
                <w:kern w:val="2"/>
                <w14:textFill>
                  <w14:solidFill>
                    <w14:schemeClr w14:val="tx1"/>
                  </w14:solidFill>
                </w14:textFill>
              </w:rPr>
              <w:t>H4</w:t>
            </w:r>
          </w:p>
        </w:tc>
        <w:tc>
          <w:tcPr>
            <w:tcW w:w="1677" w:type="dxa"/>
            <w:tcBorders>
              <w:top w:val="single" w:color="auto" w:sz="4" w:space="0"/>
              <w:left w:val="single" w:color="auto" w:sz="4" w:space="0"/>
              <w:bottom w:val="single" w:color="auto" w:sz="4" w:space="0"/>
              <w:right w:val="single" w:color="auto" w:sz="4" w:space="0"/>
            </w:tcBorders>
            <w:vAlign w:val="center"/>
          </w:tcPr>
          <w:p>
            <w:pPr>
              <w:pStyle w:val="53"/>
              <w:jc w:val="both"/>
              <w:rPr>
                <w:rFonts w:ascii="Times New Roman" w:eastAsia="宋体" w:cs="宋体"/>
                <w:color w:val="000000" w:themeColor="text1"/>
                <w14:textFill>
                  <w14:solidFill>
                    <w14:schemeClr w14:val="tx1"/>
                  </w14:solidFill>
                </w14:textFill>
              </w:rPr>
            </w:pPr>
            <w:r>
              <w:rPr>
                <w:rFonts w:hint="eastAsia" w:ascii="Times New Roman" w:eastAsia="宋体" w:cs="宋体"/>
                <w:color w:val="000000" w:themeColor="text1"/>
                <w14:textFill>
                  <w14:solidFill>
                    <w14:schemeClr w14:val="tx1"/>
                  </w14:solidFill>
                </w14:textFill>
              </w:rPr>
              <w:t>不按用户手册进行操作</w:t>
            </w:r>
          </w:p>
        </w:tc>
        <w:tc>
          <w:tcPr>
            <w:tcW w:w="1701" w:type="dxa"/>
            <w:tcBorders>
              <w:top w:val="single" w:color="auto" w:sz="4" w:space="0"/>
              <w:left w:val="single" w:color="auto" w:sz="4" w:space="0"/>
              <w:bottom w:val="single" w:color="auto" w:sz="4" w:space="0"/>
              <w:right w:val="single" w:color="auto" w:sz="4" w:space="0"/>
            </w:tcBorders>
            <w:vAlign w:val="center"/>
          </w:tcPr>
          <w:p>
            <w:pPr>
              <w:pStyle w:val="53"/>
              <w:rPr>
                <w:rFonts w:ascii="Times New Roman" w:eastAsia="宋体" w:cs="宋体"/>
                <w:color w:val="000000" w:themeColor="text1"/>
                <w14:textFill>
                  <w14:solidFill>
                    <w14:schemeClr w14:val="tx1"/>
                  </w14:solidFill>
                </w14:textFill>
              </w:rPr>
            </w:pPr>
            <w:r>
              <w:rPr>
                <w:rFonts w:hint="eastAsia" w:ascii="Times New Roman" w:eastAsia="宋体" w:cs="宋体"/>
                <w:color w:val="000000" w:themeColor="text1"/>
                <w14:textFill>
                  <w14:solidFill>
                    <w14:schemeClr w14:val="tx1"/>
                  </w14:solidFill>
                </w14:textFill>
              </w:rPr>
              <w:t>导致软件异常</w:t>
            </w:r>
          </w:p>
        </w:tc>
        <w:tc>
          <w:tcPr>
            <w:tcW w:w="2465" w:type="dxa"/>
            <w:tcBorders>
              <w:top w:val="single" w:color="auto" w:sz="4" w:space="0"/>
              <w:left w:val="single" w:color="auto" w:sz="4" w:space="0"/>
              <w:bottom w:val="single" w:color="auto" w:sz="4" w:space="0"/>
              <w:right w:val="single" w:color="auto" w:sz="4" w:space="0"/>
            </w:tcBorders>
            <w:vAlign w:val="center"/>
          </w:tcPr>
          <w:p>
            <w:pPr>
              <w:pStyle w:val="53"/>
              <w:rPr>
                <w:rFonts w:ascii="Times New Roman" w:eastAsia="宋体" w:cs="宋体"/>
                <w:color w:val="000000" w:themeColor="text1"/>
                <w14:textFill>
                  <w14:solidFill>
                    <w14:schemeClr w14:val="tx1"/>
                  </w14:solidFill>
                </w14:textFill>
              </w:rPr>
            </w:pPr>
            <w:r>
              <w:rPr>
                <w:rFonts w:hint="eastAsia" w:ascii="Times New Roman" w:eastAsia="宋体" w:cs="宋体"/>
                <w:color w:val="000000" w:themeColor="text1"/>
                <w14:textFill>
                  <w14:solidFill>
                    <w14:schemeClr w14:val="tx1"/>
                  </w14:solidFill>
                </w14:textFill>
              </w:rPr>
              <w:t>不能诊断</w:t>
            </w:r>
          </w:p>
        </w:tc>
        <w:tc>
          <w:tcPr>
            <w:tcW w:w="901" w:type="dxa"/>
            <w:gridSpan w:val="3"/>
            <w:tcBorders>
              <w:top w:val="single" w:color="auto" w:sz="4" w:space="0"/>
              <w:left w:val="single" w:color="auto" w:sz="4" w:space="0"/>
              <w:bottom w:val="single" w:color="auto" w:sz="4" w:space="0"/>
              <w:right w:val="single" w:color="auto" w:sz="4" w:space="0"/>
            </w:tcBorders>
            <w:vAlign w:val="center"/>
          </w:tcPr>
          <w:p>
            <w:pPr>
              <w:jc w:val="center"/>
              <w:rPr>
                <w:rFonts w:cs="宋体"/>
                <w:color w:val="000000" w:themeColor="text1"/>
                <w:sz w:val="24"/>
                <w14:textFill>
                  <w14:solidFill>
                    <w14:schemeClr w14:val="tx1"/>
                  </w14:solidFill>
                </w14:textFill>
              </w:rPr>
            </w:pPr>
            <w:r>
              <w:rPr>
                <w:rFonts w:hint="eastAsia" w:cs="宋体"/>
                <w:color w:val="000000" w:themeColor="text1"/>
                <w:sz w:val="24"/>
                <w14:textFill>
                  <w14:solidFill>
                    <w14:schemeClr w14:val="tx1"/>
                  </w14:solidFill>
                </w14:textFill>
              </w:rPr>
              <w:t>S1</w:t>
            </w:r>
          </w:p>
        </w:tc>
        <w:tc>
          <w:tcPr>
            <w:tcW w:w="842" w:type="dxa"/>
            <w:tcBorders>
              <w:top w:val="single" w:color="auto" w:sz="4" w:space="0"/>
              <w:left w:val="single" w:color="auto" w:sz="4" w:space="0"/>
              <w:bottom w:val="single" w:color="auto" w:sz="4" w:space="0"/>
              <w:right w:val="single" w:color="auto" w:sz="4" w:space="0"/>
            </w:tcBorders>
            <w:vAlign w:val="center"/>
          </w:tcPr>
          <w:p>
            <w:pPr>
              <w:spacing w:after="156" w:afterLines="50" w:line="460" w:lineRule="exact"/>
              <w:jc w:val="center"/>
              <w:rPr>
                <w:rFonts w:cs="宋体"/>
                <w:color w:val="000000" w:themeColor="text1"/>
                <w:sz w:val="24"/>
                <w14:textFill>
                  <w14:solidFill>
                    <w14:schemeClr w14:val="tx1"/>
                  </w14:solidFill>
                </w14:textFill>
              </w:rPr>
            </w:pPr>
            <w:r>
              <w:rPr>
                <w:rFonts w:hint="eastAsia" w:cs="宋体"/>
                <w:color w:val="000000" w:themeColor="text1"/>
                <w:sz w:val="24"/>
                <w14:textFill>
                  <w14:solidFill>
                    <w14:schemeClr w14:val="tx1"/>
                  </w14:solidFill>
                </w14:textFill>
              </w:rPr>
              <w:t>P3</w:t>
            </w:r>
          </w:p>
        </w:tc>
        <w:tc>
          <w:tcPr>
            <w:tcW w:w="848" w:type="dxa"/>
            <w:tcBorders>
              <w:top w:val="single" w:color="auto" w:sz="4" w:space="0"/>
              <w:left w:val="single" w:color="auto" w:sz="4" w:space="0"/>
              <w:bottom w:val="single" w:color="auto" w:sz="4" w:space="0"/>
              <w:right w:val="single" w:color="auto" w:sz="4" w:space="0"/>
            </w:tcBorders>
            <w:vAlign w:val="center"/>
          </w:tcPr>
          <w:p>
            <w:pPr>
              <w:spacing w:after="156" w:afterLines="50" w:line="460" w:lineRule="exact"/>
              <w:rPr>
                <w:rFonts w:cs="宋体"/>
                <w:color w:val="000000" w:themeColor="text1"/>
                <w:sz w:val="24"/>
                <w14:textFill>
                  <w14:solidFill>
                    <w14:schemeClr w14:val="tx1"/>
                  </w14:solidFill>
                </w14:textFill>
              </w:rPr>
            </w:pPr>
            <w:r>
              <w:rPr>
                <w:rFonts w:hint="eastAsia" w:cs="宋体"/>
                <w:color w:val="000000" w:themeColor="text1"/>
                <w:sz w:val="24"/>
                <w14:textFill>
                  <w14:solidFill>
                    <w14:schemeClr w14:val="tx1"/>
                  </w14:solidFill>
                </w14:textFill>
              </w:rPr>
              <w:t>ACC</w:t>
            </w:r>
          </w:p>
        </w:tc>
      </w:tr>
      <w:tr>
        <w:tblPrEx>
          <w:tblCellMar>
            <w:top w:w="0" w:type="dxa"/>
            <w:left w:w="108" w:type="dxa"/>
            <w:bottom w:w="0" w:type="dxa"/>
            <w:right w:w="108" w:type="dxa"/>
          </w:tblCellMar>
        </w:tblPrEx>
        <w:trPr>
          <w:cantSplit/>
          <w:jc w:val="center"/>
        </w:trPr>
        <w:tc>
          <w:tcPr>
            <w:tcW w:w="1098" w:type="dxa"/>
            <w:tcBorders>
              <w:top w:val="single" w:color="auto" w:sz="4" w:space="0"/>
              <w:left w:val="single" w:color="auto" w:sz="4" w:space="0"/>
              <w:bottom w:val="single" w:color="auto" w:sz="4" w:space="0"/>
              <w:right w:val="single" w:color="auto" w:sz="4" w:space="0"/>
            </w:tcBorders>
            <w:vAlign w:val="center"/>
          </w:tcPr>
          <w:p>
            <w:pPr>
              <w:pStyle w:val="53"/>
              <w:jc w:val="center"/>
              <w:rPr>
                <w:rFonts w:ascii="Times New Roman" w:eastAsia="宋体" w:cs="宋体"/>
                <w:color w:val="000000" w:themeColor="text1"/>
                <w14:textFill>
                  <w14:solidFill>
                    <w14:schemeClr w14:val="tx1"/>
                  </w14:solidFill>
                </w14:textFill>
              </w:rPr>
            </w:pPr>
            <w:r>
              <w:rPr>
                <w:rFonts w:hint="eastAsia" w:ascii="Times New Roman" w:eastAsia="宋体" w:cs="宋体"/>
                <w:color w:val="000000" w:themeColor="text1"/>
                <w14:textFill>
                  <w14:solidFill>
                    <w14:schemeClr w14:val="tx1"/>
                  </w14:solidFill>
                </w14:textFill>
              </w:rPr>
              <w:t>信息危害（服务和维护规范）</w:t>
            </w:r>
          </w:p>
        </w:tc>
        <w:tc>
          <w:tcPr>
            <w:tcW w:w="733" w:type="dxa"/>
            <w:tcBorders>
              <w:top w:val="single" w:color="auto" w:sz="4" w:space="0"/>
              <w:left w:val="single" w:color="auto" w:sz="4" w:space="0"/>
              <w:bottom w:val="single" w:color="auto" w:sz="4" w:space="0"/>
              <w:right w:val="single" w:color="auto" w:sz="4" w:space="0"/>
            </w:tcBorders>
            <w:vAlign w:val="center"/>
          </w:tcPr>
          <w:p>
            <w:pPr>
              <w:pStyle w:val="53"/>
              <w:jc w:val="center"/>
              <w:rPr>
                <w:rFonts w:ascii="Times New Roman" w:eastAsia="宋体" w:cs="宋体"/>
                <w:color w:val="000000" w:themeColor="text1"/>
                <w:kern w:val="2"/>
                <w14:textFill>
                  <w14:solidFill>
                    <w14:schemeClr w14:val="tx1"/>
                  </w14:solidFill>
                </w14:textFill>
              </w:rPr>
            </w:pPr>
            <w:r>
              <w:rPr>
                <w:rFonts w:hint="eastAsia" w:ascii="Times New Roman" w:eastAsia="宋体" w:cs="宋体"/>
                <w:color w:val="000000" w:themeColor="text1"/>
                <w:kern w:val="2"/>
                <w14:textFill>
                  <w14:solidFill>
                    <w14:schemeClr w14:val="tx1"/>
                  </w14:solidFill>
                </w14:textFill>
              </w:rPr>
              <w:t>H5</w:t>
            </w:r>
          </w:p>
        </w:tc>
        <w:tc>
          <w:tcPr>
            <w:tcW w:w="1677" w:type="dxa"/>
            <w:tcBorders>
              <w:top w:val="single" w:color="auto" w:sz="4" w:space="0"/>
              <w:left w:val="single" w:color="auto" w:sz="4" w:space="0"/>
              <w:bottom w:val="single" w:color="auto" w:sz="4" w:space="0"/>
              <w:right w:val="single" w:color="auto" w:sz="4" w:space="0"/>
            </w:tcBorders>
            <w:vAlign w:val="center"/>
          </w:tcPr>
          <w:p>
            <w:pPr>
              <w:pStyle w:val="53"/>
              <w:jc w:val="both"/>
              <w:rPr>
                <w:rFonts w:ascii="Times New Roman" w:eastAsia="宋体" w:cs="宋体"/>
                <w:color w:val="000000" w:themeColor="text1"/>
                <w14:textFill>
                  <w14:solidFill>
                    <w14:schemeClr w14:val="tx1"/>
                  </w14:solidFill>
                </w14:textFill>
              </w:rPr>
            </w:pPr>
            <w:r>
              <w:rPr>
                <w:rFonts w:hint="eastAsia" w:ascii="Times New Roman" w:eastAsia="宋体" w:cs="宋体"/>
                <w:color w:val="000000" w:themeColor="text1"/>
                <w14:textFill>
                  <w14:solidFill>
                    <w14:schemeClr w14:val="tx1"/>
                  </w14:solidFill>
                </w14:textFill>
              </w:rPr>
              <w:t>不按用户手册进行操作</w:t>
            </w:r>
          </w:p>
        </w:tc>
        <w:tc>
          <w:tcPr>
            <w:tcW w:w="1701" w:type="dxa"/>
            <w:tcBorders>
              <w:top w:val="single" w:color="auto" w:sz="4" w:space="0"/>
              <w:left w:val="single" w:color="auto" w:sz="4" w:space="0"/>
              <w:bottom w:val="single" w:color="auto" w:sz="4" w:space="0"/>
              <w:right w:val="single" w:color="auto" w:sz="4" w:space="0"/>
            </w:tcBorders>
            <w:vAlign w:val="center"/>
          </w:tcPr>
          <w:p>
            <w:pPr>
              <w:pStyle w:val="53"/>
              <w:rPr>
                <w:rFonts w:ascii="Times New Roman" w:eastAsia="宋体" w:cs="宋体"/>
                <w:color w:val="000000" w:themeColor="text1"/>
                <w14:textFill>
                  <w14:solidFill>
                    <w14:schemeClr w14:val="tx1"/>
                  </w14:solidFill>
                </w14:textFill>
              </w:rPr>
            </w:pPr>
            <w:r>
              <w:rPr>
                <w:rFonts w:hint="eastAsia" w:ascii="Times New Roman" w:eastAsia="宋体" w:cs="宋体"/>
                <w:color w:val="000000" w:themeColor="text1"/>
                <w14:textFill>
                  <w14:solidFill>
                    <w14:schemeClr w14:val="tx1"/>
                  </w14:solidFill>
                </w14:textFill>
              </w:rPr>
              <w:t>导致软件异常</w:t>
            </w:r>
          </w:p>
        </w:tc>
        <w:tc>
          <w:tcPr>
            <w:tcW w:w="2465" w:type="dxa"/>
            <w:tcBorders>
              <w:top w:val="single" w:color="auto" w:sz="4" w:space="0"/>
              <w:left w:val="single" w:color="auto" w:sz="4" w:space="0"/>
              <w:bottom w:val="single" w:color="auto" w:sz="4" w:space="0"/>
              <w:right w:val="single" w:color="auto" w:sz="4" w:space="0"/>
            </w:tcBorders>
            <w:vAlign w:val="center"/>
          </w:tcPr>
          <w:p>
            <w:pPr>
              <w:pStyle w:val="53"/>
              <w:rPr>
                <w:rFonts w:ascii="Times New Roman" w:eastAsia="宋体" w:cs="宋体"/>
                <w:color w:val="000000" w:themeColor="text1"/>
                <w14:textFill>
                  <w14:solidFill>
                    <w14:schemeClr w14:val="tx1"/>
                  </w14:solidFill>
                </w14:textFill>
              </w:rPr>
            </w:pPr>
            <w:r>
              <w:rPr>
                <w:rFonts w:hint="eastAsia" w:ascii="Times New Roman" w:eastAsia="宋体" w:cs="宋体"/>
                <w:color w:val="000000" w:themeColor="text1"/>
                <w14:textFill>
                  <w14:solidFill>
                    <w14:schemeClr w14:val="tx1"/>
                  </w14:solidFill>
                </w14:textFill>
              </w:rPr>
              <w:t>不能诊断</w:t>
            </w:r>
          </w:p>
        </w:tc>
        <w:tc>
          <w:tcPr>
            <w:tcW w:w="901" w:type="dxa"/>
            <w:gridSpan w:val="3"/>
            <w:tcBorders>
              <w:top w:val="single" w:color="auto" w:sz="4" w:space="0"/>
              <w:left w:val="single" w:color="auto" w:sz="4" w:space="0"/>
              <w:bottom w:val="single" w:color="auto" w:sz="4" w:space="0"/>
              <w:right w:val="single" w:color="auto" w:sz="4" w:space="0"/>
            </w:tcBorders>
            <w:vAlign w:val="center"/>
          </w:tcPr>
          <w:p>
            <w:pPr>
              <w:jc w:val="center"/>
              <w:rPr>
                <w:rFonts w:cs="宋体"/>
                <w:color w:val="000000" w:themeColor="text1"/>
                <w:sz w:val="24"/>
                <w14:textFill>
                  <w14:solidFill>
                    <w14:schemeClr w14:val="tx1"/>
                  </w14:solidFill>
                </w14:textFill>
              </w:rPr>
            </w:pPr>
            <w:r>
              <w:rPr>
                <w:rFonts w:hint="eastAsia" w:cs="宋体"/>
                <w:color w:val="000000" w:themeColor="text1"/>
                <w:sz w:val="24"/>
                <w14:textFill>
                  <w14:solidFill>
                    <w14:schemeClr w14:val="tx1"/>
                  </w14:solidFill>
                </w14:textFill>
              </w:rPr>
              <w:t>S1</w:t>
            </w:r>
          </w:p>
        </w:tc>
        <w:tc>
          <w:tcPr>
            <w:tcW w:w="842" w:type="dxa"/>
            <w:tcBorders>
              <w:top w:val="single" w:color="auto" w:sz="4" w:space="0"/>
              <w:left w:val="single" w:color="auto" w:sz="4" w:space="0"/>
              <w:bottom w:val="single" w:color="auto" w:sz="4" w:space="0"/>
              <w:right w:val="single" w:color="auto" w:sz="4" w:space="0"/>
            </w:tcBorders>
            <w:vAlign w:val="center"/>
          </w:tcPr>
          <w:p>
            <w:pPr>
              <w:spacing w:after="156" w:afterLines="50" w:line="460" w:lineRule="exact"/>
              <w:jc w:val="center"/>
              <w:rPr>
                <w:rFonts w:cs="宋体"/>
                <w:color w:val="000000" w:themeColor="text1"/>
                <w:sz w:val="24"/>
                <w14:textFill>
                  <w14:solidFill>
                    <w14:schemeClr w14:val="tx1"/>
                  </w14:solidFill>
                </w14:textFill>
              </w:rPr>
            </w:pPr>
            <w:r>
              <w:rPr>
                <w:rFonts w:hint="eastAsia" w:cs="宋体"/>
                <w:color w:val="000000" w:themeColor="text1"/>
                <w:sz w:val="24"/>
                <w14:textFill>
                  <w14:solidFill>
                    <w14:schemeClr w14:val="tx1"/>
                  </w14:solidFill>
                </w14:textFill>
              </w:rPr>
              <w:t>P3</w:t>
            </w:r>
          </w:p>
        </w:tc>
        <w:tc>
          <w:tcPr>
            <w:tcW w:w="848" w:type="dxa"/>
            <w:tcBorders>
              <w:top w:val="single" w:color="auto" w:sz="4" w:space="0"/>
              <w:left w:val="single" w:color="auto" w:sz="4" w:space="0"/>
              <w:bottom w:val="single" w:color="auto" w:sz="4" w:space="0"/>
              <w:right w:val="single" w:color="auto" w:sz="4" w:space="0"/>
            </w:tcBorders>
            <w:vAlign w:val="center"/>
          </w:tcPr>
          <w:p>
            <w:pPr>
              <w:spacing w:after="156" w:afterLines="50" w:line="460" w:lineRule="exact"/>
              <w:rPr>
                <w:rFonts w:cs="宋体"/>
                <w:color w:val="000000" w:themeColor="text1"/>
                <w:sz w:val="24"/>
                <w14:textFill>
                  <w14:solidFill>
                    <w14:schemeClr w14:val="tx1"/>
                  </w14:solidFill>
                </w14:textFill>
              </w:rPr>
            </w:pPr>
            <w:r>
              <w:rPr>
                <w:rFonts w:hint="eastAsia" w:cs="宋体"/>
                <w:color w:val="000000" w:themeColor="text1"/>
                <w:sz w:val="24"/>
                <w14:textFill>
                  <w14:solidFill>
                    <w14:schemeClr w14:val="tx1"/>
                  </w14:solidFill>
                </w14:textFill>
              </w:rPr>
              <w:t>ACC</w:t>
            </w:r>
          </w:p>
        </w:tc>
      </w:tr>
      <w:tr>
        <w:tblPrEx>
          <w:tblCellMar>
            <w:top w:w="0" w:type="dxa"/>
            <w:left w:w="108" w:type="dxa"/>
            <w:bottom w:w="0" w:type="dxa"/>
            <w:right w:w="108" w:type="dxa"/>
          </w:tblCellMar>
        </w:tblPrEx>
        <w:trPr>
          <w:cantSplit/>
          <w:jc w:val="center"/>
        </w:trPr>
        <w:tc>
          <w:tcPr>
            <w:tcW w:w="1098" w:type="dxa"/>
            <w:tcBorders>
              <w:top w:val="single" w:color="auto" w:sz="4" w:space="0"/>
              <w:left w:val="single" w:color="auto" w:sz="4" w:space="0"/>
              <w:bottom w:val="single" w:color="auto" w:sz="4" w:space="0"/>
              <w:right w:val="single" w:color="auto" w:sz="4" w:space="0"/>
            </w:tcBorders>
            <w:vAlign w:val="center"/>
          </w:tcPr>
          <w:p>
            <w:pPr>
              <w:pStyle w:val="53"/>
              <w:jc w:val="center"/>
              <w:rPr>
                <w:rFonts w:ascii="Times New Roman" w:eastAsia="宋体" w:cs="宋体"/>
                <w:color w:val="000000" w:themeColor="text1"/>
                <w14:textFill>
                  <w14:solidFill>
                    <w14:schemeClr w14:val="tx1"/>
                  </w14:solidFill>
                </w14:textFill>
              </w:rPr>
            </w:pPr>
            <w:r>
              <w:rPr>
                <w:rFonts w:hint="eastAsia" w:ascii="Times New Roman" w:eastAsia="宋体" w:cs="宋体"/>
                <w:color w:val="000000" w:themeColor="text1"/>
                <w14:textFill>
                  <w14:solidFill>
                    <w14:schemeClr w14:val="tx1"/>
                  </w14:solidFill>
                </w14:textFill>
              </w:rPr>
              <w:t>信息危害（用户接口不熟悉）</w:t>
            </w:r>
          </w:p>
        </w:tc>
        <w:tc>
          <w:tcPr>
            <w:tcW w:w="733" w:type="dxa"/>
            <w:tcBorders>
              <w:top w:val="single" w:color="auto" w:sz="4" w:space="0"/>
              <w:left w:val="single" w:color="auto" w:sz="4" w:space="0"/>
              <w:bottom w:val="single" w:color="auto" w:sz="4" w:space="0"/>
              <w:right w:val="single" w:color="auto" w:sz="4" w:space="0"/>
            </w:tcBorders>
            <w:vAlign w:val="center"/>
          </w:tcPr>
          <w:p>
            <w:pPr>
              <w:pStyle w:val="53"/>
              <w:jc w:val="center"/>
              <w:rPr>
                <w:rFonts w:ascii="Times New Roman" w:eastAsia="宋体" w:cs="宋体"/>
                <w:color w:val="000000" w:themeColor="text1"/>
                <w:kern w:val="2"/>
                <w14:textFill>
                  <w14:solidFill>
                    <w14:schemeClr w14:val="tx1"/>
                  </w14:solidFill>
                </w14:textFill>
              </w:rPr>
            </w:pPr>
            <w:r>
              <w:rPr>
                <w:rFonts w:hint="eastAsia" w:ascii="Times New Roman" w:eastAsia="宋体" w:cs="宋体"/>
                <w:color w:val="000000" w:themeColor="text1"/>
                <w:kern w:val="2"/>
                <w14:textFill>
                  <w14:solidFill>
                    <w14:schemeClr w14:val="tx1"/>
                  </w14:solidFill>
                </w14:textFill>
              </w:rPr>
              <w:t>H6</w:t>
            </w:r>
          </w:p>
        </w:tc>
        <w:tc>
          <w:tcPr>
            <w:tcW w:w="1677" w:type="dxa"/>
            <w:tcBorders>
              <w:top w:val="single" w:color="auto" w:sz="4" w:space="0"/>
              <w:left w:val="single" w:color="auto" w:sz="4" w:space="0"/>
              <w:bottom w:val="single" w:color="auto" w:sz="4" w:space="0"/>
              <w:right w:val="single" w:color="auto" w:sz="4" w:space="0"/>
            </w:tcBorders>
            <w:vAlign w:val="center"/>
          </w:tcPr>
          <w:p>
            <w:pPr>
              <w:pStyle w:val="53"/>
              <w:rPr>
                <w:rFonts w:ascii="Times New Roman" w:eastAsia="宋体" w:cs="宋体"/>
                <w:color w:val="000000" w:themeColor="text1"/>
                <w14:textFill>
                  <w14:solidFill>
                    <w14:schemeClr w14:val="tx1"/>
                  </w14:solidFill>
                </w14:textFill>
              </w:rPr>
            </w:pPr>
            <w:r>
              <w:rPr>
                <w:rFonts w:hint="eastAsia" w:ascii="Times New Roman" w:eastAsia="宋体" w:cs="宋体"/>
                <w:color w:val="000000" w:themeColor="text1"/>
                <w14:textFill>
                  <w14:solidFill>
                    <w14:schemeClr w14:val="tx1"/>
                  </w14:solidFill>
                </w14:textFill>
              </w:rPr>
              <w:t>不按照说明书或正确光片上传方式进行操作</w:t>
            </w:r>
          </w:p>
        </w:tc>
        <w:tc>
          <w:tcPr>
            <w:tcW w:w="1701" w:type="dxa"/>
            <w:tcBorders>
              <w:top w:val="single" w:color="auto" w:sz="4" w:space="0"/>
              <w:left w:val="single" w:color="auto" w:sz="4" w:space="0"/>
              <w:bottom w:val="single" w:color="auto" w:sz="4" w:space="0"/>
              <w:right w:val="single" w:color="auto" w:sz="4" w:space="0"/>
            </w:tcBorders>
            <w:vAlign w:val="center"/>
          </w:tcPr>
          <w:p>
            <w:pPr>
              <w:pStyle w:val="53"/>
              <w:jc w:val="both"/>
              <w:rPr>
                <w:rFonts w:ascii="Times New Roman" w:eastAsia="宋体" w:cs="宋体"/>
                <w:color w:val="000000" w:themeColor="text1"/>
                <w14:textFill>
                  <w14:solidFill>
                    <w14:schemeClr w14:val="tx1"/>
                  </w14:solidFill>
                </w14:textFill>
              </w:rPr>
            </w:pPr>
            <w:r>
              <w:rPr>
                <w:rFonts w:hint="eastAsia" w:ascii="Times New Roman" w:eastAsia="宋体" w:cs="宋体"/>
                <w:color w:val="000000" w:themeColor="text1"/>
                <w14:textFill>
                  <w14:solidFill>
                    <w14:schemeClr w14:val="tx1"/>
                  </w14:solidFill>
                </w14:textFill>
              </w:rPr>
              <w:t>不能正常使用</w:t>
            </w:r>
          </w:p>
        </w:tc>
        <w:tc>
          <w:tcPr>
            <w:tcW w:w="2465" w:type="dxa"/>
            <w:tcBorders>
              <w:top w:val="single" w:color="auto" w:sz="4" w:space="0"/>
              <w:left w:val="single" w:color="auto" w:sz="4" w:space="0"/>
              <w:bottom w:val="single" w:color="auto" w:sz="4" w:space="0"/>
              <w:right w:val="single" w:color="auto" w:sz="4" w:space="0"/>
            </w:tcBorders>
            <w:vAlign w:val="center"/>
          </w:tcPr>
          <w:p>
            <w:pPr>
              <w:pStyle w:val="53"/>
              <w:jc w:val="both"/>
              <w:rPr>
                <w:rFonts w:ascii="Times New Roman" w:eastAsia="宋体" w:cs="宋体"/>
                <w:color w:val="000000" w:themeColor="text1"/>
                <w14:textFill>
                  <w14:solidFill>
                    <w14:schemeClr w14:val="tx1"/>
                  </w14:solidFill>
                </w14:textFill>
              </w:rPr>
            </w:pPr>
            <w:r>
              <w:rPr>
                <w:rFonts w:hint="eastAsia" w:ascii="Times New Roman" w:eastAsia="宋体" w:cs="宋体"/>
                <w:color w:val="000000" w:themeColor="text1"/>
                <w14:textFill>
                  <w14:solidFill>
                    <w14:schemeClr w14:val="tx1"/>
                  </w14:solidFill>
                </w14:textFill>
              </w:rPr>
              <w:t>使用后引起错误的诊断或不能诊断</w:t>
            </w:r>
          </w:p>
        </w:tc>
        <w:tc>
          <w:tcPr>
            <w:tcW w:w="901" w:type="dxa"/>
            <w:gridSpan w:val="3"/>
            <w:tcBorders>
              <w:top w:val="single" w:color="auto" w:sz="4" w:space="0"/>
              <w:left w:val="single" w:color="auto" w:sz="4" w:space="0"/>
              <w:bottom w:val="single" w:color="auto" w:sz="4" w:space="0"/>
              <w:right w:val="single" w:color="auto" w:sz="4" w:space="0"/>
            </w:tcBorders>
            <w:vAlign w:val="center"/>
          </w:tcPr>
          <w:p>
            <w:pPr>
              <w:jc w:val="center"/>
              <w:rPr>
                <w:rFonts w:cs="宋体"/>
                <w:color w:val="000000" w:themeColor="text1"/>
                <w:sz w:val="24"/>
                <w14:textFill>
                  <w14:solidFill>
                    <w14:schemeClr w14:val="tx1"/>
                  </w14:solidFill>
                </w14:textFill>
              </w:rPr>
            </w:pPr>
            <w:r>
              <w:rPr>
                <w:rFonts w:hint="eastAsia" w:cs="宋体"/>
                <w:color w:val="000000" w:themeColor="text1"/>
                <w:sz w:val="24"/>
                <w14:textFill>
                  <w14:solidFill>
                    <w14:schemeClr w14:val="tx1"/>
                  </w14:solidFill>
                </w14:textFill>
              </w:rPr>
              <w:t>S1</w:t>
            </w:r>
          </w:p>
        </w:tc>
        <w:tc>
          <w:tcPr>
            <w:tcW w:w="842" w:type="dxa"/>
            <w:tcBorders>
              <w:top w:val="single" w:color="auto" w:sz="4" w:space="0"/>
              <w:left w:val="single" w:color="auto" w:sz="4" w:space="0"/>
              <w:bottom w:val="single" w:color="auto" w:sz="4" w:space="0"/>
              <w:right w:val="single" w:color="auto" w:sz="4" w:space="0"/>
            </w:tcBorders>
            <w:vAlign w:val="center"/>
          </w:tcPr>
          <w:p>
            <w:pPr>
              <w:spacing w:after="156" w:afterLines="50" w:line="460" w:lineRule="exact"/>
              <w:jc w:val="center"/>
              <w:rPr>
                <w:rFonts w:cs="宋体"/>
                <w:color w:val="000000" w:themeColor="text1"/>
                <w:sz w:val="24"/>
                <w14:textFill>
                  <w14:solidFill>
                    <w14:schemeClr w14:val="tx1"/>
                  </w14:solidFill>
                </w14:textFill>
              </w:rPr>
            </w:pPr>
            <w:r>
              <w:rPr>
                <w:rFonts w:hint="eastAsia" w:cs="宋体"/>
                <w:color w:val="000000" w:themeColor="text1"/>
                <w:sz w:val="24"/>
                <w14:textFill>
                  <w14:solidFill>
                    <w14:schemeClr w14:val="tx1"/>
                  </w14:solidFill>
                </w14:textFill>
              </w:rPr>
              <w:t>P3</w:t>
            </w:r>
          </w:p>
        </w:tc>
        <w:tc>
          <w:tcPr>
            <w:tcW w:w="848" w:type="dxa"/>
            <w:tcBorders>
              <w:top w:val="single" w:color="auto" w:sz="4" w:space="0"/>
              <w:left w:val="single" w:color="auto" w:sz="4" w:space="0"/>
              <w:bottom w:val="single" w:color="auto" w:sz="4" w:space="0"/>
              <w:right w:val="single" w:color="auto" w:sz="4" w:space="0"/>
            </w:tcBorders>
            <w:vAlign w:val="center"/>
          </w:tcPr>
          <w:p>
            <w:pPr>
              <w:spacing w:after="156" w:afterLines="50" w:line="460" w:lineRule="exact"/>
              <w:rPr>
                <w:rFonts w:cs="宋体"/>
                <w:color w:val="000000" w:themeColor="text1"/>
                <w:sz w:val="24"/>
                <w14:textFill>
                  <w14:solidFill>
                    <w14:schemeClr w14:val="tx1"/>
                  </w14:solidFill>
                </w14:textFill>
              </w:rPr>
            </w:pPr>
            <w:r>
              <w:rPr>
                <w:rFonts w:hint="eastAsia" w:cs="宋体"/>
                <w:bCs/>
                <w:color w:val="000000" w:themeColor="text1"/>
                <w:sz w:val="24"/>
                <w14:textFill>
                  <w14:solidFill>
                    <w14:schemeClr w14:val="tx1"/>
                  </w14:solidFill>
                </w14:textFill>
              </w:rPr>
              <w:t>ACC</w:t>
            </w:r>
          </w:p>
        </w:tc>
      </w:tr>
      <w:tr>
        <w:tblPrEx>
          <w:tblCellMar>
            <w:top w:w="0" w:type="dxa"/>
            <w:left w:w="108" w:type="dxa"/>
            <w:bottom w:w="0" w:type="dxa"/>
            <w:right w:w="108" w:type="dxa"/>
          </w:tblCellMar>
        </w:tblPrEx>
        <w:trPr>
          <w:cantSplit/>
          <w:jc w:val="center"/>
        </w:trPr>
        <w:tc>
          <w:tcPr>
            <w:tcW w:w="1098" w:type="dxa"/>
            <w:tcBorders>
              <w:top w:val="single" w:color="auto" w:sz="4" w:space="0"/>
              <w:left w:val="single" w:color="auto" w:sz="4" w:space="0"/>
              <w:bottom w:val="single" w:color="auto" w:sz="4" w:space="0"/>
              <w:right w:val="single" w:color="auto" w:sz="4" w:space="0"/>
            </w:tcBorders>
            <w:vAlign w:val="center"/>
          </w:tcPr>
          <w:p>
            <w:pPr>
              <w:pStyle w:val="53"/>
              <w:jc w:val="center"/>
              <w:rPr>
                <w:rFonts w:ascii="Times New Roman" w:eastAsia="宋体" w:cs="宋体"/>
                <w:color w:val="000000" w:themeColor="text1"/>
                <w14:textFill>
                  <w14:solidFill>
                    <w14:schemeClr w14:val="tx1"/>
                  </w14:solidFill>
                </w14:textFill>
              </w:rPr>
            </w:pPr>
            <w:r>
              <w:rPr>
                <w:rFonts w:hint="eastAsia" w:ascii="Times New Roman" w:eastAsia="宋体" w:cs="宋体"/>
                <w:color w:val="000000" w:themeColor="text1"/>
                <w14:textFill>
                  <w14:solidFill>
                    <w14:schemeClr w14:val="tx1"/>
                  </w14:solidFill>
                </w14:textFill>
              </w:rPr>
              <w:t>操作危害（违反常规）</w:t>
            </w:r>
          </w:p>
        </w:tc>
        <w:tc>
          <w:tcPr>
            <w:tcW w:w="733" w:type="dxa"/>
            <w:tcBorders>
              <w:top w:val="single" w:color="auto" w:sz="4" w:space="0"/>
              <w:left w:val="single" w:color="auto" w:sz="4" w:space="0"/>
              <w:bottom w:val="single" w:color="auto" w:sz="4" w:space="0"/>
              <w:right w:val="single" w:color="auto" w:sz="4" w:space="0"/>
            </w:tcBorders>
            <w:vAlign w:val="center"/>
          </w:tcPr>
          <w:p>
            <w:pPr>
              <w:pStyle w:val="53"/>
              <w:jc w:val="center"/>
              <w:rPr>
                <w:rFonts w:ascii="Times New Roman" w:eastAsia="宋体" w:cs="宋体"/>
                <w:color w:val="000000" w:themeColor="text1"/>
                <w:kern w:val="2"/>
                <w14:textFill>
                  <w14:solidFill>
                    <w14:schemeClr w14:val="tx1"/>
                  </w14:solidFill>
                </w14:textFill>
              </w:rPr>
            </w:pPr>
            <w:r>
              <w:rPr>
                <w:rFonts w:hint="eastAsia" w:ascii="Times New Roman" w:eastAsia="宋体" w:cs="宋体"/>
                <w:color w:val="000000" w:themeColor="text1"/>
                <w:kern w:val="2"/>
                <w14:textFill>
                  <w14:solidFill>
                    <w14:schemeClr w14:val="tx1"/>
                  </w14:solidFill>
                </w14:textFill>
              </w:rPr>
              <w:t>H7</w:t>
            </w:r>
          </w:p>
        </w:tc>
        <w:tc>
          <w:tcPr>
            <w:tcW w:w="1677" w:type="dxa"/>
            <w:tcBorders>
              <w:top w:val="single" w:color="auto" w:sz="4" w:space="0"/>
              <w:left w:val="single" w:color="auto" w:sz="4" w:space="0"/>
              <w:bottom w:val="single" w:color="auto" w:sz="4" w:space="0"/>
              <w:right w:val="single" w:color="auto" w:sz="4" w:space="0"/>
            </w:tcBorders>
            <w:vAlign w:val="center"/>
          </w:tcPr>
          <w:p>
            <w:pPr>
              <w:pStyle w:val="53"/>
              <w:rPr>
                <w:rFonts w:ascii="Times New Roman" w:eastAsia="宋体" w:cs="宋体"/>
                <w:color w:val="000000" w:themeColor="text1"/>
                <w14:textFill>
                  <w14:solidFill>
                    <w14:schemeClr w14:val="tx1"/>
                  </w14:solidFill>
                </w14:textFill>
              </w:rPr>
            </w:pPr>
            <w:r>
              <w:rPr>
                <w:rFonts w:hint="eastAsia" w:ascii="Times New Roman" w:eastAsia="宋体" w:cs="宋体"/>
                <w:color w:val="000000" w:themeColor="text1"/>
                <w14:textFill>
                  <w14:solidFill>
                    <w14:schemeClr w14:val="tx1"/>
                  </w14:solidFill>
                </w14:textFill>
              </w:rPr>
              <w:t>不按照说明书或正确光片上传方式进行操作</w:t>
            </w:r>
          </w:p>
        </w:tc>
        <w:tc>
          <w:tcPr>
            <w:tcW w:w="1701" w:type="dxa"/>
            <w:tcBorders>
              <w:top w:val="single" w:color="auto" w:sz="4" w:space="0"/>
              <w:left w:val="single" w:color="auto" w:sz="4" w:space="0"/>
              <w:bottom w:val="single" w:color="auto" w:sz="4" w:space="0"/>
              <w:right w:val="single" w:color="auto" w:sz="4" w:space="0"/>
            </w:tcBorders>
            <w:vAlign w:val="center"/>
          </w:tcPr>
          <w:p>
            <w:pPr>
              <w:pStyle w:val="53"/>
              <w:jc w:val="both"/>
              <w:rPr>
                <w:rFonts w:ascii="Times New Roman" w:eastAsia="宋体" w:cs="宋体"/>
                <w:color w:val="000000" w:themeColor="text1"/>
                <w14:textFill>
                  <w14:solidFill>
                    <w14:schemeClr w14:val="tx1"/>
                  </w14:solidFill>
                </w14:textFill>
              </w:rPr>
            </w:pPr>
            <w:r>
              <w:rPr>
                <w:rFonts w:hint="eastAsia" w:ascii="Times New Roman" w:eastAsia="宋体" w:cs="宋体"/>
                <w:color w:val="000000" w:themeColor="text1"/>
                <w14:textFill>
                  <w14:solidFill>
                    <w14:schemeClr w14:val="tx1"/>
                  </w14:solidFill>
                </w14:textFill>
              </w:rPr>
              <w:t>不能正常使用</w:t>
            </w:r>
          </w:p>
        </w:tc>
        <w:tc>
          <w:tcPr>
            <w:tcW w:w="2465" w:type="dxa"/>
            <w:tcBorders>
              <w:top w:val="single" w:color="auto" w:sz="4" w:space="0"/>
              <w:left w:val="single" w:color="auto" w:sz="4" w:space="0"/>
              <w:bottom w:val="single" w:color="auto" w:sz="4" w:space="0"/>
              <w:right w:val="single" w:color="auto" w:sz="4" w:space="0"/>
            </w:tcBorders>
            <w:vAlign w:val="center"/>
          </w:tcPr>
          <w:p>
            <w:pPr>
              <w:pStyle w:val="53"/>
              <w:jc w:val="both"/>
              <w:rPr>
                <w:rFonts w:ascii="Times New Roman" w:eastAsia="宋体" w:cs="宋体"/>
                <w:color w:val="000000" w:themeColor="text1"/>
                <w14:textFill>
                  <w14:solidFill>
                    <w14:schemeClr w14:val="tx1"/>
                  </w14:solidFill>
                </w14:textFill>
              </w:rPr>
            </w:pPr>
            <w:r>
              <w:rPr>
                <w:rFonts w:hint="eastAsia" w:ascii="Times New Roman" w:eastAsia="宋体" w:cs="宋体"/>
                <w:color w:val="000000" w:themeColor="text1"/>
                <w14:textFill>
                  <w14:solidFill>
                    <w14:schemeClr w14:val="tx1"/>
                  </w14:solidFill>
                </w14:textFill>
              </w:rPr>
              <w:t>使用后引起错误的诊断或不能诊断</w:t>
            </w:r>
          </w:p>
        </w:tc>
        <w:tc>
          <w:tcPr>
            <w:tcW w:w="901" w:type="dxa"/>
            <w:gridSpan w:val="3"/>
            <w:tcBorders>
              <w:top w:val="single" w:color="auto" w:sz="4" w:space="0"/>
              <w:left w:val="single" w:color="auto" w:sz="4" w:space="0"/>
              <w:bottom w:val="single" w:color="auto" w:sz="4" w:space="0"/>
              <w:right w:val="single" w:color="auto" w:sz="4" w:space="0"/>
            </w:tcBorders>
            <w:vAlign w:val="center"/>
          </w:tcPr>
          <w:p>
            <w:pPr>
              <w:jc w:val="center"/>
              <w:rPr>
                <w:rFonts w:cs="宋体"/>
                <w:color w:val="000000" w:themeColor="text1"/>
                <w:sz w:val="24"/>
                <w14:textFill>
                  <w14:solidFill>
                    <w14:schemeClr w14:val="tx1"/>
                  </w14:solidFill>
                </w14:textFill>
              </w:rPr>
            </w:pPr>
            <w:r>
              <w:rPr>
                <w:rFonts w:hint="eastAsia" w:cs="宋体"/>
                <w:color w:val="000000" w:themeColor="text1"/>
                <w:sz w:val="24"/>
                <w14:textFill>
                  <w14:solidFill>
                    <w14:schemeClr w14:val="tx1"/>
                  </w14:solidFill>
                </w14:textFill>
              </w:rPr>
              <w:t>S1</w:t>
            </w:r>
          </w:p>
        </w:tc>
        <w:tc>
          <w:tcPr>
            <w:tcW w:w="842" w:type="dxa"/>
            <w:tcBorders>
              <w:top w:val="single" w:color="auto" w:sz="4" w:space="0"/>
              <w:left w:val="single" w:color="auto" w:sz="4" w:space="0"/>
              <w:bottom w:val="single" w:color="auto" w:sz="4" w:space="0"/>
              <w:right w:val="single" w:color="auto" w:sz="4" w:space="0"/>
            </w:tcBorders>
            <w:vAlign w:val="center"/>
          </w:tcPr>
          <w:p>
            <w:pPr>
              <w:spacing w:after="156" w:afterLines="50" w:line="460" w:lineRule="exact"/>
              <w:jc w:val="center"/>
              <w:rPr>
                <w:rFonts w:cs="宋体"/>
                <w:color w:val="000000" w:themeColor="text1"/>
                <w:sz w:val="24"/>
                <w14:textFill>
                  <w14:solidFill>
                    <w14:schemeClr w14:val="tx1"/>
                  </w14:solidFill>
                </w14:textFill>
              </w:rPr>
            </w:pPr>
            <w:r>
              <w:rPr>
                <w:rFonts w:hint="eastAsia" w:cs="宋体"/>
                <w:color w:val="000000" w:themeColor="text1"/>
                <w:sz w:val="24"/>
                <w14:textFill>
                  <w14:solidFill>
                    <w14:schemeClr w14:val="tx1"/>
                  </w14:solidFill>
                </w14:textFill>
              </w:rPr>
              <w:t>P3</w:t>
            </w:r>
          </w:p>
        </w:tc>
        <w:tc>
          <w:tcPr>
            <w:tcW w:w="848" w:type="dxa"/>
            <w:tcBorders>
              <w:top w:val="single" w:color="auto" w:sz="4" w:space="0"/>
              <w:left w:val="single" w:color="auto" w:sz="4" w:space="0"/>
              <w:bottom w:val="single" w:color="auto" w:sz="4" w:space="0"/>
              <w:right w:val="single" w:color="auto" w:sz="4" w:space="0"/>
            </w:tcBorders>
            <w:vAlign w:val="center"/>
          </w:tcPr>
          <w:p>
            <w:pPr>
              <w:spacing w:after="156" w:afterLines="50" w:line="460" w:lineRule="exact"/>
              <w:rPr>
                <w:rFonts w:cs="宋体"/>
                <w:color w:val="000000" w:themeColor="text1"/>
                <w:sz w:val="24"/>
                <w14:textFill>
                  <w14:solidFill>
                    <w14:schemeClr w14:val="tx1"/>
                  </w14:solidFill>
                </w14:textFill>
              </w:rPr>
            </w:pPr>
            <w:r>
              <w:rPr>
                <w:rFonts w:hint="eastAsia" w:cs="宋体"/>
                <w:bCs/>
                <w:color w:val="000000" w:themeColor="text1"/>
                <w:sz w:val="24"/>
                <w14:textFill>
                  <w14:solidFill>
                    <w14:schemeClr w14:val="tx1"/>
                  </w14:solidFill>
                </w14:textFill>
              </w:rPr>
              <w:t>ACC</w:t>
            </w:r>
          </w:p>
        </w:tc>
      </w:tr>
      <w:tr>
        <w:tblPrEx>
          <w:tblCellMar>
            <w:top w:w="0" w:type="dxa"/>
            <w:left w:w="108" w:type="dxa"/>
            <w:bottom w:w="0" w:type="dxa"/>
            <w:right w:w="108" w:type="dxa"/>
          </w:tblCellMar>
        </w:tblPrEx>
        <w:trPr>
          <w:cantSplit/>
          <w:jc w:val="center"/>
        </w:trPr>
        <w:tc>
          <w:tcPr>
            <w:tcW w:w="1098" w:type="dxa"/>
            <w:tcBorders>
              <w:top w:val="single" w:color="auto" w:sz="4" w:space="0"/>
              <w:left w:val="single" w:color="auto" w:sz="4" w:space="0"/>
              <w:bottom w:val="single" w:color="auto" w:sz="4" w:space="0"/>
              <w:right w:val="single" w:color="auto" w:sz="4" w:space="0"/>
            </w:tcBorders>
            <w:vAlign w:val="center"/>
          </w:tcPr>
          <w:p>
            <w:pPr>
              <w:pStyle w:val="53"/>
              <w:jc w:val="center"/>
              <w:rPr>
                <w:rFonts w:ascii="Times New Roman" w:eastAsia="宋体" w:cs="宋体"/>
                <w:color w:val="000000" w:themeColor="text1"/>
                <w14:textFill>
                  <w14:solidFill>
                    <w14:schemeClr w14:val="tx1"/>
                  </w14:solidFill>
                </w14:textFill>
              </w:rPr>
            </w:pPr>
            <w:r>
              <w:rPr>
                <w:rFonts w:hint="eastAsia" w:ascii="Times New Roman" w:eastAsia="宋体" w:cs="宋体"/>
                <w:color w:val="000000" w:themeColor="text1"/>
                <w14:textFill>
                  <w14:solidFill>
                    <w14:schemeClr w14:val="tx1"/>
                  </w14:solidFill>
                </w14:textFill>
              </w:rPr>
              <w:t>信息危害（界面显示信息观察错误）</w:t>
            </w:r>
          </w:p>
        </w:tc>
        <w:tc>
          <w:tcPr>
            <w:tcW w:w="733" w:type="dxa"/>
            <w:tcBorders>
              <w:top w:val="single" w:color="auto" w:sz="4" w:space="0"/>
              <w:left w:val="single" w:color="auto" w:sz="4" w:space="0"/>
              <w:bottom w:val="single" w:color="auto" w:sz="4" w:space="0"/>
              <w:right w:val="single" w:color="auto" w:sz="4" w:space="0"/>
            </w:tcBorders>
            <w:vAlign w:val="center"/>
          </w:tcPr>
          <w:p>
            <w:pPr>
              <w:pStyle w:val="53"/>
              <w:jc w:val="center"/>
              <w:rPr>
                <w:rFonts w:ascii="Times New Roman" w:eastAsia="宋体" w:cs="宋体"/>
                <w:color w:val="000000" w:themeColor="text1"/>
                <w:kern w:val="2"/>
                <w14:textFill>
                  <w14:solidFill>
                    <w14:schemeClr w14:val="tx1"/>
                  </w14:solidFill>
                </w14:textFill>
              </w:rPr>
            </w:pPr>
            <w:r>
              <w:rPr>
                <w:rFonts w:hint="eastAsia" w:ascii="Times New Roman" w:eastAsia="宋体" w:cs="宋体"/>
                <w:color w:val="000000" w:themeColor="text1"/>
                <w:kern w:val="2"/>
                <w14:textFill>
                  <w14:solidFill>
                    <w14:schemeClr w14:val="tx1"/>
                  </w14:solidFill>
                </w14:textFill>
              </w:rPr>
              <w:t>H8</w:t>
            </w:r>
          </w:p>
        </w:tc>
        <w:tc>
          <w:tcPr>
            <w:tcW w:w="1677" w:type="dxa"/>
            <w:tcBorders>
              <w:top w:val="single" w:color="auto" w:sz="4" w:space="0"/>
              <w:left w:val="single" w:color="auto" w:sz="4" w:space="0"/>
              <w:bottom w:val="single" w:color="auto" w:sz="4" w:space="0"/>
              <w:right w:val="single" w:color="auto" w:sz="4" w:space="0"/>
            </w:tcBorders>
            <w:vAlign w:val="center"/>
          </w:tcPr>
          <w:p>
            <w:pPr>
              <w:pStyle w:val="53"/>
              <w:rPr>
                <w:rFonts w:ascii="Times New Roman" w:eastAsia="宋体" w:cs="宋体"/>
                <w:color w:val="000000" w:themeColor="text1"/>
                <w14:textFill>
                  <w14:solidFill>
                    <w14:schemeClr w14:val="tx1"/>
                  </w14:solidFill>
                </w14:textFill>
              </w:rPr>
            </w:pPr>
            <w:r>
              <w:rPr>
                <w:rFonts w:hint="eastAsia" w:ascii="Times New Roman" w:eastAsia="宋体" w:cs="宋体"/>
                <w:color w:val="000000" w:themeColor="text1"/>
                <w14:textFill>
                  <w14:solidFill>
                    <w14:schemeClr w14:val="tx1"/>
                  </w14:solidFill>
                </w14:textFill>
              </w:rPr>
              <w:t>显示的影像不清晰</w:t>
            </w:r>
          </w:p>
        </w:tc>
        <w:tc>
          <w:tcPr>
            <w:tcW w:w="1701" w:type="dxa"/>
            <w:tcBorders>
              <w:top w:val="single" w:color="auto" w:sz="4" w:space="0"/>
              <w:left w:val="single" w:color="auto" w:sz="4" w:space="0"/>
              <w:bottom w:val="single" w:color="auto" w:sz="4" w:space="0"/>
              <w:right w:val="single" w:color="auto" w:sz="4" w:space="0"/>
            </w:tcBorders>
            <w:vAlign w:val="center"/>
          </w:tcPr>
          <w:p>
            <w:pPr>
              <w:pStyle w:val="53"/>
              <w:jc w:val="both"/>
              <w:rPr>
                <w:rFonts w:ascii="Times New Roman" w:eastAsia="宋体" w:cs="宋体"/>
                <w:color w:val="000000" w:themeColor="text1"/>
                <w14:textFill>
                  <w14:solidFill>
                    <w14:schemeClr w14:val="tx1"/>
                  </w14:solidFill>
                </w14:textFill>
              </w:rPr>
            </w:pPr>
            <w:r>
              <w:rPr>
                <w:rFonts w:hint="eastAsia" w:ascii="Times New Roman" w:eastAsia="宋体" w:cs="宋体"/>
                <w:color w:val="000000" w:themeColor="text1"/>
                <w14:textFill>
                  <w14:solidFill>
                    <w14:schemeClr w14:val="tx1"/>
                  </w14:solidFill>
                </w14:textFill>
              </w:rPr>
              <w:t>不能正常评估结果</w:t>
            </w:r>
          </w:p>
        </w:tc>
        <w:tc>
          <w:tcPr>
            <w:tcW w:w="2465" w:type="dxa"/>
            <w:tcBorders>
              <w:top w:val="single" w:color="auto" w:sz="4" w:space="0"/>
              <w:left w:val="single" w:color="auto" w:sz="4" w:space="0"/>
              <w:bottom w:val="single" w:color="auto" w:sz="4" w:space="0"/>
              <w:right w:val="single" w:color="auto" w:sz="4" w:space="0"/>
            </w:tcBorders>
            <w:vAlign w:val="center"/>
          </w:tcPr>
          <w:p>
            <w:pPr>
              <w:pStyle w:val="53"/>
              <w:jc w:val="both"/>
              <w:rPr>
                <w:rFonts w:ascii="Times New Roman" w:eastAsia="宋体" w:cs="宋体"/>
                <w:color w:val="000000" w:themeColor="text1"/>
                <w14:textFill>
                  <w14:solidFill>
                    <w14:schemeClr w14:val="tx1"/>
                  </w14:solidFill>
                </w14:textFill>
              </w:rPr>
            </w:pPr>
            <w:r>
              <w:rPr>
                <w:rFonts w:hint="eastAsia" w:ascii="Times New Roman" w:eastAsia="宋体" w:cs="宋体"/>
                <w:color w:val="000000" w:themeColor="text1"/>
                <w14:textFill>
                  <w14:solidFill>
                    <w14:schemeClr w14:val="tx1"/>
                  </w14:solidFill>
                </w14:textFill>
              </w:rPr>
              <w:t>延误治疗，评估失误</w:t>
            </w:r>
          </w:p>
        </w:tc>
        <w:tc>
          <w:tcPr>
            <w:tcW w:w="901" w:type="dxa"/>
            <w:gridSpan w:val="3"/>
            <w:tcBorders>
              <w:top w:val="single" w:color="auto" w:sz="4" w:space="0"/>
              <w:left w:val="single" w:color="auto" w:sz="4" w:space="0"/>
              <w:bottom w:val="single" w:color="auto" w:sz="4" w:space="0"/>
              <w:right w:val="single" w:color="auto" w:sz="4" w:space="0"/>
            </w:tcBorders>
            <w:vAlign w:val="center"/>
          </w:tcPr>
          <w:p>
            <w:pPr>
              <w:jc w:val="center"/>
              <w:rPr>
                <w:rFonts w:cs="宋体"/>
                <w:color w:val="000000" w:themeColor="text1"/>
                <w:sz w:val="24"/>
                <w14:textFill>
                  <w14:solidFill>
                    <w14:schemeClr w14:val="tx1"/>
                  </w14:solidFill>
                </w14:textFill>
              </w:rPr>
            </w:pPr>
            <w:r>
              <w:rPr>
                <w:rFonts w:hint="eastAsia" w:cs="宋体"/>
                <w:color w:val="000000" w:themeColor="text1"/>
                <w:sz w:val="24"/>
                <w14:textFill>
                  <w14:solidFill>
                    <w14:schemeClr w14:val="tx1"/>
                  </w14:solidFill>
                </w14:textFill>
              </w:rPr>
              <w:t>S2</w:t>
            </w:r>
          </w:p>
        </w:tc>
        <w:tc>
          <w:tcPr>
            <w:tcW w:w="842" w:type="dxa"/>
            <w:tcBorders>
              <w:top w:val="single" w:color="auto" w:sz="4" w:space="0"/>
              <w:left w:val="single" w:color="auto" w:sz="4" w:space="0"/>
              <w:bottom w:val="single" w:color="auto" w:sz="4" w:space="0"/>
              <w:right w:val="single" w:color="auto" w:sz="4" w:space="0"/>
            </w:tcBorders>
            <w:vAlign w:val="center"/>
          </w:tcPr>
          <w:p>
            <w:pPr>
              <w:spacing w:after="156" w:afterLines="50" w:line="460" w:lineRule="exact"/>
              <w:jc w:val="center"/>
              <w:rPr>
                <w:rFonts w:cs="宋体"/>
                <w:color w:val="000000" w:themeColor="text1"/>
                <w:sz w:val="24"/>
                <w14:textFill>
                  <w14:solidFill>
                    <w14:schemeClr w14:val="tx1"/>
                  </w14:solidFill>
                </w14:textFill>
              </w:rPr>
            </w:pPr>
            <w:r>
              <w:rPr>
                <w:rFonts w:hint="eastAsia" w:cs="宋体"/>
                <w:color w:val="000000" w:themeColor="text1"/>
                <w:sz w:val="24"/>
                <w14:textFill>
                  <w14:solidFill>
                    <w14:schemeClr w14:val="tx1"/>
                  </w14:solidFill>
                </w14:textFill>
              </w:rPr>
              <w:t>P4</w:t>
            </w:r>
          </w:p>
        </w:tc>
        <w:tc>
          <w:tcPr>
            <w:tcW w:w="848" w:type="dxa"/>
            <w:tcBorders>
              <w:top w:val="single" w:color="auto" w:sz="4" w:space="0"/>
              <w:left w:val="single" w:color="auto" w:sz="4" w:space="0"/>
              <w:bottom w:val="single" w:color="auto" w:sz="4" w:space="0"/>
              <w:right w:val="single" w:color="auto" w:sz="4" w:space="0"/>
            </w:tcBorders>
            <w:vAlign w:val="center"/>
          </w:tcPr>
          <w:p>
            <w:pPr>
              <w:spacing w:after="156" w:afterLines="50" w:line="460" w:lineRule="exact"/>
              <w:jc w:val="center"/>
              <w:rPr>
                <w:rFonts w:cs="宋体"/>
                <w:color w:val="000000" w:themeColor="text1"/>
                <w:sz w:val="24"/>
                <w14:textFill>
                  <w14:solidFill>
                    <w14:schemeClr w14:val="tx1"/>
                  </w14:solidFill>
                </w14:textFill>
              </w:rPr>
            </w:pPr>
            <w:r>
              <w:rPr>
                <w:rFonts w:hint="eastAsia" w:cs="宋体"/>
                <w:color w:val="000000" w:themeColor="text1"/>
                <w:sz w:val="24"/>
                <w14:textFill>
                  <w14:solidFill>
                    <w14:schemeClr w14:val="tx1"/>
                  </w14:solidFill>
                </w14:textFill>
              </w:rPr>
              <w:t>ALARP</w:t>
            </w:r>
          </w:p>
        </w:tc>
      </w:tr>
      <w:tr>
        <w:tblPrEx>
          <w:tblCellMar>
            <w:top w:w="0" w:type="dxa"/>
            <w:left w:w="108" w:type="dxa"/>
            <w:bottom w:w="0" w:type="dxa"/>
            <w:right w:w="108" w:type="dxa"/>
          </w:tblCellMar>
        </w:tblPrEx>
        <w:trPr>
          <w:cantSplit/>
          <w:jc w:val="center"/>
        </w:trPr>
        <w:tc>
          <w:tcPr>
            <w:tcW w:w="1098" w:type="dxa"/>
            <w:tcBorders>
              <w:top w:val="single" w:color="auto" w:sz="4" w:space="0"/>
              <w:left w:val="single" w:color="auto" w:sz="4" w:space="0"/>
              <w:bottom w:val="single" w:color="auto" w:sz="4" w:space="0"/>
              <w:right w:val="single" w:color="auto" w:sz="4" w:space="0"/>
            </w:tcBorders>
            <w:vAlign w:val="center"/>
          </w:tcPr>
          <w:p>
            <w:pPr>
              <w:pStyle w:val="53"/>
              <w:jc w:val="center"/>
              <w:rPr>
                <w:rFonts w:ascii="Times New Roman" w:eastAsia="宋体" w:cs="宋体"/>
                <w:color w:val="000000" w:themeColor="text1"/>
                <w14:textFill>
                  <w14:solidFill>
                    <w14:schemeClr w14:val="tx1"/>
                  </w14:solidFill>
                </w14:textFill>
              </w:rPr>
            </w:pPr>
            <w:r>
              <w:rPr>
                <w:rFonts w:hint="eastAsia" w:ascii="Times New Roman" w:eastAsia="宋体" w:cs="宋体"/>
                <w:color w:val="000000" w:themeColor="text1"/>
                <w14:textFill>
                  <w14:solidFill>
                    <w14:schemeClr w14:val="tx1"/>
                  </w14:solidFill>
                </w14:textFill>
              </w:rPr>
              <w:t>操作危害</w:t>
            </w:r>
          </w:p>
        </w:tc>
        <w:tc>
          <w:tcPr>
            <w:tcW w:w="733" w:type="dxa"/>
            <w:tcBorders>
              <w:top w:val="single" w:color="auto" w:sz="4" w:space="0"/>
              <w:left w:val="single" w:color="auto" w:sz="4" w:space="0"/>
              <w:bottom w:val="single" w:color="auto" w:sz="4" w:space="0"/>
              <w:right w:val="single" w:color="auto" w:sz="4" w:space="0"/>
            </w:tcBorders>
            <w:vAlign w:val="center"/>
          </w:tcPr>
          <w:p>
            <w:pPr>
              <w:pStyle w:val="53"/>
              <w:jc w:val="center"/>
              <w:rPr>
                <w:rFonts w:ascii="Times New Roman" w:eastAsia="宋体" w:cs="宋体"/>
                <w:color w:val="000000" w:themeColor="text1"/>
                <w:kern w:val="2"/>
                <w14:textFill>
                  <w14:solidFill>
                    <w14:schemeClr w14:val="tx1"/>
                  </w14:solidFill>
                </w14:textFill>
              </w:rPr>
            </w:pPr>
            <w:r>
              <w:rPr>
                <w:rFonts w:hint="eastAsia" w:ascii="Times New Roman" w:eastAsia="宋体" w:cs="宋体"/>
                <w:color w:val="000000" w:themeColor="text1"/>
                <w:kern w:val="2"/>
                <w14:textFill>
                  <w14:solidFill>
                    <w14:schemeClr w14:val="tx1"/>
                  </w14:solidFill>
                </w14:textFill>
              </w:rPr>
              <w:t>H9</w:t>
            </w:r>
          </w:p>
        </w:tc>
        <w:tc>
          <w:tcPr>
            <w:tcW w:w="1677" w:type="dxa"/>
            <w:tcBorders>
              <w:top w:val="single" w:color="auto" w:sz="4" w:space="0"/>
              <w:left w:val="single" w:color="auto" w:sz="4" w:space="0"/>
              <w:bottom w:val="single" w:color="auto" w:sz="4" w:space="0"/>
              <w:right w:val="single" w:color="auto" w:sz="4" w:space="0"/>
            </w:tcBorders>
            <w:vAlign w:val="center"/>
          </w:tcPr>
          <w:p>
            <w:pPr>
              <w:pStyle w:val="53"/>
              <w:rPr>
                <w:rFonts w:ascii="Times New Roman" w:eastAsia="宋体" w:cs="宋体"/>
                <w:color w:val="000000" w:themeColor="text1"/>
                <w14:textFill>
                  <w14:solidFill>
                    <w14:schemeClr w14:val="tx1"/>
                  </w14:solidFill>
                </w14:textFill>
              </w:rPr>
            </w:pPr>
            <w:r>
              <w:rPr>
                <w:rFonts w:hint="eastAsia" w:ascii="Times New Roman" w:eastAsia="宋体" w:cs="宋体"/>
                <w:color w:val="000000" w:themeColor="text1"/>
                <w14:textFill>
                  <w14:solidFill>
                    <w14:schemeClr w14:val="tx1"/>
                  </w14:solidFill>
                </w14:textFill>
              </w:rPr>
              <w:t>操作失误</w:t>
            </w:r>
          </w:p>
        </w:tc>
        <w:tc>
          <w:tcPr>
            <w:tcW w:w="1701" w:type="dxa"/>
            <w:tcBorders>
              <w:top w:val="single" w:color="auto" w:sz="4" w:space="0"/>
              <w:left w:val="single" w:color="auto" w:sz="4" w:space="0"/>
              <w:bottom w:val="single" w:color="auto" w:sz="4" w:space="0"/>
              <w:right w:val="single" w:color="auto" w:sz="4" w:space="0"/>
            </w:tcBorders>
            <w:vAlign w:val="center"/>
          </w:tcPr>
          <w:p>
            <w:pPr>
              <w:pStyle w:val="53"/>
              <w:jc w:val="both"/>
              <w:rPr>
                <w:rFonts w:ascii="Times New Roman" w:eastAsia="宋体" w:cs="宋体"/>
                <w:color w:val="000000" w:themeColor="text1"/>
                <w14:textFill>
                  <w14:solidFill>
                    <w14:schemeClr w14:val="tx1"/>
                  </w14:solidFill>
                </w14:textFill>
              </w:rPr>
            </w:pPr>
            <w:r>
              <w:rPr>
                <w:rFonts w:hint="eastAsia" w:ascii="Times New Roman" w:eastAsia="宋体" w:cs="宋体"/>
                <w:color w:val="000000" w:themeColor="text1"/>
                <w14:textFill>
                  <w14:solidFill>
                    <w14:schemeClr w14:val="tx1"/>
                  </w14:solidFill>
                </w14:textFill>
              </w:rPr>
              <w:t>使用软件错误</w:t>
            </w:r>
          </w:p>
        </w:tc>
        <w:tc>
          <w:tcPr>
            <w:tcW w:w="2465" w:type="dxa"/>
            <w:tcBorders>
              <w:top w:val="single" w:color="auto" w:sz="4" w:space="0"/>
              <w:left w:val="single" w:color="auto" w:sz="4" w:space="0"/>
              <w:bottom w:val="single" w:color="auto" w:sz="4" w:space="0"/>
              <w:right w:val="single" w:color="auto" w:sz="4" w:space="0"/>
            </w:tcBorders>
            <w:vAlign w:val="center"/>
          </w:tcPr>
          <w:p>
            <w:pPr>
              <w:pStyle w:val="53"/>
              <w:jc w:val="both"/>
              <w:rPr>
                <w:rFonts w:ascii="Times New Roman" w:eastAsia="宋体" w:cs="宋体"/>
                <w:color w:val="000000" w:themeColor="text1"/>
                <w14:textFill>
                  <w14:solidFill>
                    <w14:schemeClr w14:val="tx1"/>
                  </w14:solidFill>
                </w14:textFill>
              </w:rPr>
            </w:pPr>
            <w:r>
              <w:rPr>
                <w:rFonts w:hint="eastAsia" w:ascii="Times New Roman" w:eastAsia="宋体" w:cs="宋体"/>
                <w:color w:val="000000" w:themeColor="text1"/>
                <w14:textFill>
                  <w14:solidFill>
                    <w14:schemeClr w14:val="tx1"/>
                  </w14:solidFill>
                </w14:textFill>
              </w:rPr>
              <w:t>延误治疗</w:t>
            </w:r>
          </w:p>
        </w:tc>
        <w:tc>
          <w:tcPr>
            <w:tcW w:w="901" w:type="dxa"/>
            <w:gridSpan w:val="3"/>
            <w:tcBorders>
              <w:top w:val="single" w:color="auto" w:sz="4" w:space="0"/>
              <w:left w:val="single" w:color="auto" w:sz="4" w:space="0"/>
              <w:bottom w:val="single" w:color="auto" w:sz="4" w:space="0"/>
              <w:right w:val="single" w:color="auto" w:sz="4" w:space="0"/>
            </w:tcBorders>
            <w:vAlign w:val="center"/>
          </w:tcPr>
          <w:p>
            <w:pPr>
              <w:jc w:val="center"/>
              <w:rPr>
                <w:rFonts w:cs="宋体"/>
                <w:color w:val="000000" w:themeColor="text1"/>
                <w:sz w:val="24"/>
                <w14:textFill>
                  <w14:solidFill>
                    <w14:schemeClr w14:val="tx1"/>
                  </w14:solidFill>
                </w14:textFill>
              </w:rPr>
            </w:pPr>
            <w:r>
              <w:rPr>
                <w:rFonts w:hint="eastAsia" w:cs="宋体"/>
                <w:color w:val="000000" w:themeColor="text1"/>
                <w:sz w:val="24"/>
                <w14:textFill>
                  <w14:solidFill>
                    <w14:schemeClr w14:val="tx1"/>
                  </w14:solidFill>
                </w14:textFill>
              </w:rPr>
              <w:t>S2</w:t>
            </w:r>
          </w:p>
        </w:tc>
        <w:tc>
          <w:tcPr>
            <w:tcW w:w="842" w:type="dxa"/>
            <w:tcBorders>
              <w:top w:val="single" w:color="auto" w:sz="4" w:space="0"/>
              <w:left w:val="single" w:color="auto" w:sz="4" w:space="0"/>
              <w:bottom w:val="single" w:color="auto" w:sz="4" w:space="0"/>
              <w:right w:val="single" w:color="auto" w:sz="4" w:space="0"/>
            </w:tcBorders>
            <w:vAlign w:val="center"/>
          </w:tcPr>
          <w:p>
            <w:pPr>
              <w:spacing w:after="156" w:afterLines="50" w:line="460" w:lineRule="exact"/>
              <w:jc w:val="center"/>
              <w:rPr>
                <w:rFonts w:cs="宋体"/>
                <w:color w:val="000000" w:themeColor="text1"/>
                <w:sz w:val="24"/>
                <w14:textFill>
                  <w14:solidFill>
                    <w14:schemeClr w14:val="tx1"/>
                  </w14:solidFill>
                </w14:textFill>
              </w:rPr>
            </w:pPr>
            <w:r>
              <w:rPr>
                <w:rFonts w:hint="eastAsia" w:cs="宋体"/>
                <w:color w:val="000000" w:themeColor="text1"/>
                <w:sz w:val="24"/>
                <w14:textFill>
                  <w14:solidFill>
                    <w14:schemeClr w14:val="tx1"/>
                  </w14:solidFill>
                </w14:textFill>
              </w:rPr>
              <w:t>P3</w:t>
            </w:r>
          </w:p>
        </w:tc>
        <w:tc>
          <w:tcPr>
            <w:tcW w:w="848" w:type="dxa"/>
            <w:tcBorders>
              <w:top w:val="single" w:color="auto" w:sz="4" w:space="0"/>
              <w:left w:val="single" w:color="auto" w:sz="4" w:space="0"/>
              <w:bottom w:val="single" w:color="auto" w:sz="4" w:space="0"/>
              <w:right w:val="single" w:color="auto" w:sz="4" w:space="0"/>
            </w:tcBorders>
            <w:vAlign w:val="center"/>
          </w:tcPr>
          <w:p>
            <w:pPr>
              <w:spacing w:after="156" w:afterLines="50" w:line="460" w:lineRule="exact"/>
              <w:jc w:val="center"/>
              <w:rPr>
                <w:rFonts w:cs="宋体"/>
                <w:color w:val="000000" w:themeColor="text1"/>
                <w:sz w:val="24"/>
                <w14:textFill>
                  <w14:solidFill>
                    <w14:schemeClr w14:val="tx1"/>
                  </w14:solidFill>
                </w14:textFill>
              </w:rPr>
            </w:pPr>
            <w:r>
              <w:rPr>
                <w:rFonts w:hint="eastAsia" w:cs="宋体"/>
                <w:color w:val="000000" w:themeColor="text1"/>
                <w:sz w:val="24"/>
                <w14:textFill>
                  <w14:solidFill>
                    <w14:schemeClr w14:val="tx1"/>
                  </w14:solidFill>
                </w14:textFill>
              </w:rPr>
              <w:t>ALARP</w:t>
            </w:r>
          </w:p>
        </w:tc>
      </w:tr>
      <w:tr>
        <w:tblPrEx>
          <w:tblCellMar>
            <w:top w:w="0" w:type="dxa"/>
            <w:left w:w="108" w:type="dxa"/>
            <w:bottom w:w="0" w:type="dxa"/>
            <w:right w:w="108" w:type="dxa"/>
          </w:tblCellMar>
        </w:tblPrEx>
        <w:trPr>
          <w:cantSplit/>
          <w:jc w:val="center"/>
        </w:trPr>
        <w:tc>
          <w:tcPr>
            <w:tcW w:w="1098" w:type="dxa"/>
            <w:tcBorders>
              <w:top w:val="single" w:color="auto" w:sz="4" w:space="0"/>
              <w:left w:val="single" w:color="auto" w:sz="4" w:space="0"/>
              <w:bottom w:val="single" w:color="auto" w:sz="4" w:space="0"/>
              <w:right w:val="single" w:color="auto" w:sz="4" w:space="0"/>
            </w:tcBorders>
            <w:vAlign w:val="center"/>
          </w:tcPr>
          <w:p>
            <w:pPr>
              <w:pStyle w:val="53"/>
              <w:jc w:val="both"/>
              <w:rPr>
                <w:rFonts w:ascii="Times New Roman" w:eastAsia="宋体" w:cs="宋体"/>
                <w:color w:val="000000" w:themeColor="text1"/>
                <w14:textFill>
                  <w14:solidFill>
                    <w14:schemeClr w14:val="tx1"/>
                  </w14:solidFill>
                </w14:textFill>
              </w:rPr>
            </w:pPr>
            <w:r>
              <w:rPr>
                <w:rFonts w:hint="eastAsia" w:ascii="Times New Roman" w:eastAsia="宋体" w:cs="宋体"/>
                <w:color w:val="000000" w:themeColor="text1"/>
                <w14:textFill>
                  <w14:solidFill>
                    <w14:schemeClr w14:val="tx1"/>
                  </w14:solidFill>
                </w14:textFill>
              </w:rPr>
              <w:t>信息危害</w:t>
            </w:r>
          </w:p>
        </w:tc>
        <w:tc>
          <w:tcPr>
            <w:tcW w:w="733" w:type="dxa"/>
            <w:tcBorders>
              <w:top w:val="single" w:color="auto" w:sz="4" w:space="0"/>
              <w:left w:val="single" w:color="auto" w:sz="4" w:space="0"/>
              <w:bottom w:val="single" w:color="auto" w:sz="4" w:space="0"/>
              <w:right w:val="single" w:color="auto" w:sz="4" w:space="0"/>
            </w:tcBorders>
            <w:vAlign w:val="center"/>
          </w:tcPr>
          <w:p>
            <w:pPr>
              <w:pStyle w:val="53"/>
              <w:jc w:val="center"/>
              <w:rPr>
                <w:rFonts w:ascii="Times New Roman" w:eastAsia="宋体" w:cs="宋体"/>
                <w:color w:val="000000" w:themeColor="text1"/>
                <w:kern w:val="2"/>
                <w14:textFill>
                  <w14:solidFill>
                    <w14:schemeClr w14:val="tx1"/>
                  </w14:solidFill>
                </w14:textFill>
              </w:rPr>
            </w:pPr>
            <w:r>
              <w:rPr>
                <w:rFonts w:hint="eastAsia" w:ascii="Times New Roman" w:eastAsia="宋体" w:cs="宋体"/>
                <w:color w:val="000000" w:themeColor="text1"/>
                <w:kern w:val="2"/>
                <w14:textFill>
                  <w14:solidFill>
                    <w14:schemeClr w14:val="tx1"/>
                  </w14:solidFill>
                </w14:textFill>
              </w:rPr>
              <w:t>H10</w:t>
            </w:r>
          </w:p>
        </w:tc>
        <w:tc>
          <w:tcPr>
            <w:tcW w:w="1677" w:type="dxa"/>
            <w:tcBorders>
              <w:top w:val="single" w:color="auto" w:sz="4" w:space="0"/>
              <w:left w:val="single" w:color="auto" w:sz="4" w:space="0"/>
              <w:bottom w:val="single" w:color="auto" w:sz="4" w:space="0"/>
              <w:right w:val="single" w:color="auto" w:sz="4" w:space="0"/>
            </w:tcBorders>
            <w:vAlign w:val="center"/>
          </w:tcPr>
          <w:p>
            <w:pPr>
              <w:pStyle w:val="53"/>
              <w:jc w:val="both"/>
              <w:rPr>
                <w:rFonts w:ascii="Times New Roman" w:eastAsia="宋体" w:cs="宋体"/>
                <w:color w:val="000000" w:themeColor="text1"/>
                <w14:textFill>
                  <w14:solidFill>
                    <w14:schemeClr w14:val="tx1"/>
                  </w14:solidFill>
                </w14:textFill>
              </w:rPr>
            </w:pPr>
            <w:r>
              <w:rPr>
                <w:rFonts w:hint="eastAsia" w:ascii="Times New Roman" w:eastAsia="宋体" w:cs="宋体"/>
                <w:color w:val="000000" w:themeColor="text1"/>
                <w14:textFill>
                  <w14:solidFill>
                    <w14:schemeClr w14:val="tx1"/>
                  </w14:solidFill>
                </w14:textFill>
              </w:rPr>
              <w:t>非专业人员使用</w:t>
            </w:r>
          </w:p>
        </w:tc>
        <w:tc>
          <w:tcPr>
            <w:tcW w:w="1701" w:type="dxa"/>
            <w:tcBorders>
              <w:top w:val="single" w:color="auto" w:sz="4" w:space="0"/>
              <w:left w:val="single" w:color="auto" w:sz="4" w:space="0"/>
              <w:bottom w:val="single" w:color="auto" w:sz="4" w:space="0"/>
              <w:right w:val="single" w:color="auto" w:sz="4" w:space="0"/>
            </w:tcBorders>
            <w:vAlign w:val="center"/>
          </w:tcPr>
          <w:p>
            <w:pPr>
              <w:pStyle w:val="53"/>
              <w:jc w:val="both"/>
              <w:rPr>
                <w:rFonts w:ascii="Times New Roman" w:eastAsia="宋体" w:cs="宋体"/>
                <w:color w:val="000000" w:themeColor="text1"/>
                <w14:textFill>
                  <w14:solidFill>
                    <w14:schemeClr w14:val="tx1"/>
                  </w14:solidFill>
                </w14:textFill>
              </w:rPr>
            </w:pPr>
            <w:r>
              <w:rPr>
                <w:rFonts w:hint="eastAsia" w:ascii="Times New Roman" w:eastAsia="宋体" w:cs="宋体"/>
                <w:color w:val="000000" w:themeColor="text1"/>
                <w14:textFill>
                  <w14:solidFill>
                    <w14:schemeClr w14:val="tx1"/>
                  </w14:solidFill>
                </w14:textFill>
              </w:rPr>
              <w:t>操作错误或判读错误</w:t>
            </w:r>
          </w:p>
        </w:tc>
        <w:tc>
          <w:tcPr>
            <w:tcW w:w="2465" w:type="dxa"/>
            <w:tcBorders>
              <w:top w:val="single" w:color="auto" w:sz="4" w:space="0"/>
              <w:left w:val="single" w:color="auto" w:sz="4" w:space="0"/>
              <w:bottom w:val="single" w:color="auto" w:sz="4" w:space="0"/>
              <w:right w:val="single" w:color="auto" w:sz="4" w:space="0"/>
            </w:tcBorders>
            <w:vAlign w:val="center"/>
          </w:tcPr>
          <w:p>
            <w:pPr>
              <w:pStyle w:val="53"/>
              <w:jc w:val="both"/>
              <w:rPr>
                <w:rFonts w:ascii="Times New Roman" w:eastAsia="宋体" w:cs="宋体"/>
                <w:color w:val="000000" w:themeColor="text1"/>
                <w14:textFill>
                  <w14:solidFill>
                    <w14:schemeClr w14:val="tx1"/>
                  </w14:solidFill>
                </w14:textFill>
              </w:rPr>
            </w:pPr>
            <w:r>
              <w:rPr>
                <w:rFonts w:hint="eastAsia" w:ascii="Times New Roman" w:eastAsia="宋体" w:cs="宋体"/>
                <w:color w:val="000000" w:themeColor="text1"/>
                <w14:textFill>
                  <w14:solidFill>
                    <w14:schemeClr w14:val="tx1"/>
                  </w14:solidFill>
                </w14:textFill>
              </w:rPr>
              <w:t>使用后引起错误的诊断</w:t>
            </w:r>
          </w:p>
        </w:tc>
        <w:tc>
          <w:tcPr>
            <w:tcW w:w="901" w:type="dxa"/>
            <w:gridSpan w:val="3"/>
            <w:tcBorders>
              <w:top w:val="single" w:color="auto" w:sz="4" w:space="0"/>
              <w:left w:val="single" w:color="auto" w:sz="4" w:space="0"/>
              <w:bottom w:val="single" w:color="auto" w:sz="4" w:space="0"/>
              <w:right w:val="single" w:color="auto" w:sz="4" w:space="0"/>
            </w:tcBorders>
            <w:vAlign w:val="center"/>
          </w:tcPr>
          <w:p>
            <w:pPr>
              <w:spacing w:after="156" w:afterLines="50" w:line="460" w:lineRule="exact"/>
              <w:jc w:val="center"/>
              <w:rPr>
                <w:rFonts w:cs="宋体"/>
                <w:color w:val="000000" w:themeColor="text1"/>
                <w:sz w:val="24"/>
                <w14:textFill>
                  <w14:solidFill>
                    <w14:schemeClr w14:val="tx1"/>
                  </w14:solidFill>
                </w14:textFill>
              </w:rPr>
            </w:pPr>
            <w:r>
              <w:rPr>
                <w:rFonts w:hint="eastAsia" w:cs="宋体"/>
                <w:color w:val="000000" w:themeColor="text1"/>
                <w:sz w:val="24"/>
                <w14:textFill>
                  <w14:solidFill>
                    <w14:schemeClr w14:val="tx1"/>
                  </w14:solidFill>
                </w14:textFill>
              </w:rPr>
              <w:t>S1</w:t>
            </w:r>
          </w:p>
        </w:tc>
        <w:tc>
          <w:tcPr>
            <w:tcW w:w="842" w:type="dxa"/>
            <w:tcBorders>
              <w:top w:val="single" w:color="auto" w:sz="4" w:space="0"/>
              <w:left w:val="single" w:color="auto" w:sz="4" w:space="0"/>
              <w:bottom w:val="single" w:color="auto" w:sz="4" w:space="0"/>
              <w:right w:val="single" w:color="auto" w:sz="4" w:space="0"/>
            </w:tcBorders>
            <w:vAlign w:val="center"/>
          </w:tcPr>
          <w:p>
            <w:pPr>
              <w:spacing w:after="156" w:afterLines="50" w:line="460" w:lineRule="exact"/>
              <w:jc w:val="center"/>
              <w:rPr>
                <w:rFonts w:cs="宋体"/>
                <w:color w:val="000000" w:themeColor="text1"/>
                <w:sz w:val="24"/>
                <w14:textFill>
                  <w14:solidFill>
                    <w14:schemeClr w14:val="tx1"/>
                  </w14:solidFill>
                </w14:textFill>
              </w:rPr>
            </w:pPr>
            <w:r>
              <w:rPr>
                <w:rFonts w:hint="eastAsia" w:cs="宋体"/>
                <w:color w:val="000000" w:themeColor="text1"/>
                <w:sz w:val="24"/>
                <w14:textFill>
                  <w14:solidFill>
                    <w14:schemeClr w14:val="tx1"/>
                  </w14:solidFill>
                </w14:textFill>
              </w:rPr>
              <w:t>P4</w:t>
            </w:r>
          </w:p>
        </w:tc>
        <w:tc>
          <w:tcPr>
            <w:tcW w:w="848" w:type="dxa"/>
            <w:tcBorders>
              <w:top w:val="single" w:color="auto" w:sz="4" w:space="0"/>
              <w:left w:val="single" w:color="auto" w:sz="4" w:space="0"/>
              <w:bottom w:val="single" w:color="auto" w:sz="4" w:space="0"/>
              <w:right w:val="single" w:color="auto" w:sz="4" w:space="0"/>
            </w:tcBorders>
            <w:vAlign w:val="center"/>
          </w:tcPr>
          <w:p>
            <w:pPr>
              <w:spacing w:after="156" w:afterLines="50" w:line="460" w:lineRule="exact"/>
              <w:jc w:val="center"/>
              <w:rPr>
                <w:rFonts w:cs="宋体"/>
                <w:color w:val="000000" w:themeColor="text1"/>
                <w:sz w:val="24"/>
                <w14:textFill>
                  <w14:solidFill>
                    <w14:schemeClr w14:val="tx1"/>
                  </w14:solidFill>
                </w14:textFill>
              </w:rPr>
            </w:pPr>
            <w:r>
              <w:rPr>
                <w:rFonts w:hint="eastAsia" w:cs="宋体"/>
                <w:color w:val="000000" w:themeColor="text1"/>
                <w:sz w:val="24"/>
                <w14:textFill>
                  <w14:solidFill>
                    <w14:schemeClr w14:val="tx1"/>
                  </w14:solidFill>
                </w14:textFill>
              </w:rPr>
              <w:t>ALARP</w:t>
            </w:r>
          </w:p>
        </w:tc>
      </w:tr>
    </w:tbl>
    <w:p>
      <w:pPr>
        <w:autoSpaceDE w:val="0"/>
        <w:autoSpaceDN w:val="0"/>
        <w:adjustRightInd w:val="0"/>
        <w:jc w:val="left"/>
        <w:rPr>
          <w:rFonts w:hint="eastAsia"/>
          <w:sz w:val="24"/>
        </w:rPr>
      </w:pPr>
    </w:p>
    <w:p>
      <w:pPr>
        <w:spacing w:line="360" w:lineRule="auto"/>
        <w:ind w:firstLine="480" w:firstLineChars="200"/>
        <w:rPr>
          <w:rFonts w:cs="宋体"/>
          <w:color w:val="000000" w:themeColor="text1"/>
          <w:sz w:val="24"/>
          <w14:textFill>
            <w14:solidFill>
              <w14:schemeClr w14:val="tx1"/>
            </w14:solidFill>
          </w14:textFill>
        </w:rPr>
      </w:pPr>
      <w:r>
        <w:rPr>
          <w:rFonts w:hint="eastAsia" w:cs="宋体"/>
          <w:color w:val="000000" w:themeColor="text1"/>
          <w:sz w:val="24"/>
          <w14:textFill>
            <w14:solidFill>
              <w14:schemeClr w14:val="tx1"/>
            </w14:solidFill>
          </w14:textFill>
        </w:rPr>
        <w:t>通过上述分析，针对每一项可能的危害进行了判定，记录了可能造成危害处境的合理可预见事件序列，并针对每一个判定的危害处境，进行了相关的风险分析。确定了风险分析的结果为：</w:t>
      </w:r>
    </w:p>
    <w:tbl>
      <w:tblPr>
        <w:tblStyle w:val="36"/>
        <w:tblW w:w="852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912"/>
        <w:gridCol w:w="16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912" w:type="dxa"/>
            <w:vAlign w:val="center"/>
          </w:tcPr>
          <w:p>
            <w:pPr>
              <w:jc w:val="center"/>
              <w:rPr>
                <w:rFonts w:cs="宋体"/>
                <w:color w:val="000000" w:themeColor="text1"/>
                <w:sz w:val="24"/>
                <w14:textFill>
                  <w14:solidFill>
                    <w14:schemeClr w14:val="tx1"/>
                  </w14:solidFill>
                </w14:textFill>
              </w:rPr>
            </w:pPr>
            <w:r>
              <w:rPr>
                <w:rFonts w:hint="eastAsia" w:cs="宋体"/>
                <w:color w:val="000000" w:themeColor="text1"/>
                <w:sz w:val="24"/>
                <w14:textFill>
                  <w14:solidFill>
                    <w14:schemeClr w14:val="tx1"/>
                  </w14:solidFill>
                </w14:textFill>
              </w:rPr>
              <w:t>项目</w:t>
            </w:r>
          </w:p>
        </w:tc>
        <w:tc>
          <w:tcPr>
            <w:tcW w:w="1610" w:type="dxa"/>
            <w:vAlign w:val="center"/>
          </w:tcPr>
          <w:p>
            <w:pPr>
              <w:jc w:val="center"/>
              <w:rPr>
                <w:rFonts w:cs="宋体"/>
                <w:color w:val="000000" w:themeColor="text1"/>
                <w:sz w:val="24"/>
                <w14:textFill>
                  <w14:solidFill>
                    <w14:schemeClr w14:val="tx1"/>
                  </w14:solidFill>
                </w14:textFill>
              </w:rPr>
            </w:pPr>
            <w:r>
              <w:rPr>
                <w:rFonts w:hint="eastAsia" w:cs="宋体"/>
                <w:color w:val="000000" w:themeColor="text1"/>
                <w:sz w:val="24"/>
                <w14:textFill>
                  <w14:solidFill>
                    <w14:schemeClr w14:val="tx1"/>
                  </w14:solidFill>
                </w14:textFill>
              </w:rPr>
              <w:t>数量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912" w:type="dxa"/>
            <w:vAlign w:val="center"/>
          </w:tcPr>
          <w:p>
            <w:pPr>
              <w:spacing w:line="360" w:lineRule="auto"/>
              <w:jc w:val="left"/>
              <w:rPr>
                <w:rFonts w:cs="宋体"/>
                <w:color w:val="000000" w:themeColor="text1"/>
                <w:sz w:val="24"/>
                <w14:textFill>
                  <w14:solidFill>
                    <w14:schemeClr w14:val="tx1"/>
                  </w14:solidFill>
                </w14:textFill>
              </w:rPr>
            </w:pPr>
            <w:r>
              <w:rPr>
                <w:rFonts w:hint="eastAsia" w:cs="宋体"/>
                <w:color w:val="000000" w:themeColor="text1"/>
                <w:sz w:val="24"/>
                <w14:textFill>
                  <w14:solidFill>
                    <w14:schemeClr w14:val="tx1"/>
                  </w14:solidFill>
                </w14:textFill>
              </w:rPr>
              <w:t>N/ACC: 不经过风险/受益分析即判定为不可接受风险。</w:t>
            </w:r>
          </w:p>
        </w:tc>
        <w:tc>
          <w:tcPr>
            <w:tcW w:w="1610" w:type="dxa"/>
            <w:vAlign w:val="center"/>
          </w:tcPr>
          <w:p>
            <w:pPr>
              <w:jc w:val="center"/>
              <w:rPr>
                <w:rFonts w:cs="宋体"/>
                <w:color w:val="000000" w:themeColor="text1"/>
                <w:sz w:val="24"/>
                <w14:textFill>
                  <w14:solidFill>
                    <w14:schemeClr w14:val="tx1"/>
                  </w14:solidFill>
                </w14:textFill>
              </w:rPr>
            </w:pPr>
            <w:r>
              <w:rPr>
                <w:rFonts w:hint="eastAsia" w:cs="宋体"/>
                <w:color w:val="000000" w:themeColor="text1"/>
                <w:sz w:val="24"/>
                <w14:textFill>
                  <w14:solidFill>
                    <w14:schemeClr w14:val="tx1"/>
                  </w14:solidFill>
                </w14:textFill>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912" w:type="dxa"/>
            <w:vAlign w:val="center"/>
          </w:tcPr>
          <w:p>
            <w:pPr>
              <w:jc w:val="left"/>
              <w:rPr>
                <w:rFonts w:cs="宋体"/>
                <w:color w:val="000000" w:themeColor="text1"/>
                <w:sz w:val="24"/>
                <w14:textFill>
                  <w14:solidFill>
                    <w14:schemeClr w14:val="tx1"/>
                  </w14:solidFill>
                </w14:textFill>
              </w:rPr>
            </w:pPr>
            <w:r>
              <w:rPr>
                <w:rFonts w:hint="eastAsia" w:cs="宋体"/>
                <w:color w:val="000000" w:themeColor="text1"/>
                <w:sz w:val="24"/>
                <w14:textFill>
                  <w14:solidFill>
                    <w14:schemeClr w14:val="tx1"/>
                  </w14:solidFill>
                </w14:textFill>
              </w:rPr>
              <w:t>* (ALARP)：合理可降低的风险。</w:t>
            </w:r>
          </w:p>
        </w:tc>
        <w:tc>
          <w:tcPr>
            <w:tcW w:w="1610" w:type="dxa"/>
            <w:vAlign w:val="center"/>
          </w:tcPr>
          <w:p>
            <w:pPr>
              <w:jc w:val="center"/>
              <w:rPr>
                <w:rFonts w:cs="宋体"/>
                <w:color w:val="000000" w:themeColor="text1"/>
                <w:sz w:val="24"/>
                <w14:textFill>
                  <w14:solidFill>
                    <w14:schemeClr w14:val="tx1"/>
                  </w14:solidFill>
                </w14:textFill>
              </w:rPr>
            </w:pPr>
            <w:r>
              <w:rPr>
                <w:rFonts w:hint="eastAsia" w:cs="宋体"/>
                <w:color w:val="000000" w:themeColor="text1"/>
                <w:sz w:val="24"/>
                <w14:textFill>
                  <w14:solidFill>
                    <w14:schemeClr w14:val="tx1"/>
                  </w14:solidFill>
                </w14:textFill>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912" w:type="dxa"/>
            <w:vAlign w:val="center"/>
          </w:tcPr>
          <w:p>
            <w:pPr>
              <w:spacing w:line="360" w:lineRule="auto"/>
              <w:jc w:val="left"/>
              <w:rPr>
                <w:rFonts w:cs="宋体"/>
                <w:color w:val="000000" w:themeColor="text1"/>
                <w:sz w:val="24"/>
                <w14:textFill>
                  <w14:solidFill>
                    <w14:schemeClr w14:val="tx1"/>
                  </w14:solidFill>
                </w14:textFill>
              </w:rPr>
            </w:pPr>
            <w:r>
              <w:rPr>
                <w:rFonts w:hint="eastAsia" w:cs="宋体"/>
                <w:color w:val="000000" w:themeColor="text1"/>
                <w:sz w:val="24"/>
                <w14:textFill>
                  <w14:solidFill>
                    <w14:schemeClr w14:val="tx1"/>
                  </w14:solidFill>
                </w14:textFill>
              </w:rPr>
              <w:t>ACC: 广泛可接受风险。</w:t>
            </w:r>
          </w:p>
        </w:tc>
        <w:tc>
          <w:tcPr>
            <w:tcW w:w="1610" w:type="dxa"/>
            <w:vAlign w:val="center"/>
          </w:tcPr>
          <w:p>
            <w:pPr>
              <w:jc w:val="center"/>
              <w:rPr>
                <w:rFonts w:cs="宋体"/>
                <w:color w:val="000000" w:themeColor="text1"/>
                <w:sz w:val="24"/>
                <w14:textFill>
                  <w14:solidFill>
                    <w14:schemeClr w14:val="tx1"/>
                  </w14:solidFill>
                </w14:textFill>
              </w:rPr>
            </w:pPr>
            <w:r>
              <w:rPr>
                <w:rFonts w:hint="eastAsia" w:cs="宋体"/>
                <w:color w:val="000000" w:themeColor="text1"/>
                <w:sz w:val="24"/>
                <w14:textFill>
                  <w14:solidFill>
                    <w14:schemeClr w14:val="tx1"/>
                  </w14:solidFill>
                </w14:textFill>
              </w:rPr>
              <w:t>0</w:t>
            </w:r>
          </w:p>
        </w:tc>
      </w:tr>
    </w:tbl>
    <w:p>
      <w:pPr>
        <w:pStyle w:val="58"/>
        <w:keepNext w:val="0"/>
        <w:numPr>
          <w:numId w:val="0"/>
        </w:numPr>
        <w:topLinePunct/>
        <w:spacing w:before="0" w:after="0" w:line="360" w:lineRule="auto"/>
        <w:ind w:leftChars="0"/>
        <w:jc w:val="left"/>
        <w:outlineLvl w:val="0"/>
        <w:rPr>
          <w:rFonts w:ascii="Times New Roman" w:hAnsi="Times New Roman"/>
          <w:szCs w:val="32"/>
        </w:rPr>
      </w:pPr>
    </w:p>
    <w:p>
      <w:pPr>
        <w:pStyle w:val="58"/>
        <w:keepNext w:val="0"/>
        <w:numPr>
          <w:ilvl w:val="0"/>
          <w:numId w:val="5"/>
        </w:numPr>
        <w:topLinePunct/>
        <w:spacing w:before="0" w:after="0" w:line="360" w:lineRule="auto"/>
        <w:ind w:left="425" w:leftChars="0" w:hanging="425" w:firstLineChars="0"/>
        <w:jc w:val="left"/>
        <w:outlineLvl w:val="0"/>
        <w:rPr>
          <w:rFonts w:ascii="Times New Roman" w:hAnsi="Times New Roman"/>
          <w:szCs w:val="32"/>
        </w:rPr>
      </w:pPr>
      <w:r>
        <w:rPr>
          <w:rFonts w:hint="eastAsia" w:ascii="Times New Roman" w:hAnsi="Times New Roman"/>
          <w:szCs w:val="21"/>
        </w:rPr>
        <w:t>表3.危害</w:t>
      </w:r>
      <w:bookmarkStart w:id="25" w:name="_Toc407176768"/>
      <w:bookmarkStart w:id="26" w:name="_Toc351387601"/>
      <w:bookmarkStart w:id="27" w:name="_Toc318720246"/>
      <w:bookmarkStart w:id="28" w:name="_Toc78988836"/>
      <w:r>
        <w:rPr>
          <w:rFonts w:ascii="Times New Roman" w:hAnsi="Times New Roman"/>
          <w:szCs w:val="32"/>
        </w:rPr>
        <w:t>对风险控制措施引入的新风险分析</w:t>
      </w:r>
      <w:bookmarkEnd w:id="25"/>
      <w:bookmarkEnd w:id="26"/>
      <w:bookmarkEnd w:id="27"/>
      <w:bookmarkEnd w:id="28"/>
    </w:p>
    <w:p>
      <w:pPr>
        <w:topLinePunct/>
        <w:spacing w:line="360" w:lineRule="auto"/>
        <w:ind w:firstLine="480" w:firstLineChars="200"/>
        <w:jc w:val="left"/>
        <w:rPr>
          <w:i/>
          <w:color w:val="0070C0"/>
          <w:sz w:val="24"/>
        </w:rPr>
      </w:pPr>
      <w:r>
        <w:rPr>
          <w:iCs/>
          <w:color w:val="000000" w:themeColor="text1"/>
          <w:sz w:val="24"/>
          <w14:textFill>
            <w14:solidFill>
              <w14:schemeClr w14:val="tx1"/>
            </w14:solidFill>
          </w14:textFill>
        </w:rPr>
        <w:t>所有的风险控制措施未引入新的风险。</w:t>
      </w:r>
    </w:p>
    <w:p>
      <w:pPr>
        <w:topLinePunct/>
        <w:spacing w:line="360" w:lineRule="auto"/>
        <w:ind w:firstLine="480" w:firstLineChars="200"/>
        <w:jc w:val="left"/>
        <w:rPr>
          <w:sz w:val="24"/>
        </w:rPr>
      </w:pPr>
    </w:p>
    <w:p>
      <w:pPr>
        <w:pStyle w:val="58"/>
        <w:keepNext w:val="0"/>
        <w:numPr>
          <w:ilvl w:val="0"/>
          <w:numId w:val="5"/>
        </w:numPr>
        <w:topLinePunct/>
        <w:spacing w:before="0" w:after="0" w:line="360" w:lineRule="auto"/>
        <w:jc w:val="left"/>
        <w:outlineLvl w:val="0"/>
        <w:rPr>
          <w:rFonts w:ascii="Times New Roman" w:hAnsi="Times New Roman"/>
          <w:szCs w:val="32"/>
        </w:rPr>
      </w:pPr>
      <w:bookmarkStart w:id="29" w:name="_Toc378233844"/>
      <w:bookmarkStart w:id="30" w:name="_Toc78988837"/>
      <w:bookmarkStart w:id="31" w:name="_Toc407176769"/>
      <w:r>
        <w:rPr>
          <w:rFonts w:ascii="Times New Roman" w:hAnsi="Times New Roman"/>
          <w:szCs w:val="32"/>
        </w:rPr>
        <w:t>风险/收益分析</w:t>
      </w:r>
      <w:bookmarkEnd w:id="29"/>
      <w:bookmarkEnd w:id="30"/>
      <w:bookmarkEnd w:id="31"/>
    </w:p>
    <w:p>
      <w:pPr>
        <w:topLinePunct/>
        <w:spacing w:line="360" w:lineRule="auto"/>
        <w:ind w:firstLine="480" w:firstLineChars="200"/>
        <w:jc w:val="left"/>
        <w:rPr>
          <w:i/>
          <w:color w:val="0070C0"/>
          <w:sz w:val="24"/>
        </w:rPr>
      </w:pPr>
      <w:r>
        <w:rPr>
          <w:iCs/>
          <w:color w:val="000000" w:themeColor="text1"/>
          <w:sz w:val="24"/>
          <w14:textFill>
            <w14:solidFill>
              <w14:schemeClr w14:val="tx1"/>
            </w14:solidFill>
          </w14:textFill>
        </w:rPr>
        <w:t>所有的剩余风险均在可接受的范围内。</w:t>
      </w:r>
    </w:p>
    <w:p>
      <w:pPr>
        <w:topLinePunct/>
        <w:spacing w:line="360" w:lineRule="auto"/>
        <w:ind w:firstLine="480" w:firstLineChars="200"/>
        <w:jc w:val="left"/>
        <w:rPr>
          <w:sz w:val="24"/>
        </w:rPr>
      </w:pPr>
    </w:p>
    <w:p>
      <w:pPr>
        <w:pStyle w:val="58"/>
        <w:keepNext w:val="0"/>
        <w:numPr>
          <w:ilvl w:val="0"/>
          <w:numId w:val="5"/>
        </w:numPr>
        <w:topLinePunct/>
        <w:spacing w:before="0" w:after="0" w:line="360" w:lineRule="auto"/>
        <w:jc w:val="left"/>
        <w:outlineLvl w:val="0"/>
        <w:rPr>
          <w:rFonts w:ascii="Times New Roman" w:hAnsi="Times New Roman"/>
          <w:szCs w:val="32"/>
        </w:rPr>
      </w:pPr>
      <w:bookmarkStart w:id="32" w:name="_Toc407176770"/>
      <w:bookmarkStart w:id="33" w:name="_Toc351387602"/>
      <w:bookmarkStart w:id="34" w:name="_Toc78988838"/>
      <w:bookmarkStart w:id="35" w:name="_Toc277082867"/>
      <w:bookmarkStart w:id="36" w:name="_Toc277082865"/>
      <w:r>
        <w:rPr>
          <w:rFonts w:ascii="Times New Roman" w:hAnsi="Times New Roman"/>
          <w:szCs w:val="32"/>
        </w:rPr>
        <w:t>风险管理的完整性</w:t>
      </w:r>
      <w:bookmarkEnd w:id="32"/>
      <w:bookmarkEnd w:id="33"/>
      <w:bookmarkEnd w:id="34"/>
      <w:bookmarkEnd w:id="35"/>
    </w:p>
    <w:p>
      <w:pPr>
        <w:topLinePunct/>
        <w:spacing w:line="360" w:lineRule="auto"/>
        <w:ind w:firstLine="480" w:firstLineChars="200"/>
        <w:jc w:val="left"/>
        <w:rPr>
          <w:iCs/>
          <w:color w:val="000000" w:themeColor="text1"/>
          <w:sz w:val="24"/>
          <w14:textFill>
            <w14:solidFill>
              <w14:schemeClr w14:val="tx1"/>
            </w14:solidFill>
          </w14:textFill>
        </w:rPr>
      </w:pPr>
      <w:r>
        <w:rPr>
          <w:iCs/>
          <w:color w:val="000000" w:themeColor="text1"/>
          <w:sz w:val="24"/>
          <w14:textFill>
            <w14:solidFill>
              <w14:schemeClr w14:val="tx1"/>
            </w14:solidFill>
          </w14:textFill>
        </w:rPr>
        <w:t>经检查，风险管理过程已应用于每个已判定的危害，所有已判定的危害处境产生的风险已得到考虑。</w:t>
      </w:r>
    </w:p>
    <w:p>
      <w:pPr>
        <w:topLinePunct/>
        <w:spacing w:line="360" w:lineRule="auto"/>
        <w:ind w:firstLine="480" w:firstLineChars="200"/>
        <w:jc w:val="left"/>
        <w:rPr>
          <w:sz w:val="24"/>
        </w:rPr>
      </w:pPr>
    </w:p>
    <w:p>
      <w:pPr>
        <w:pStyle w:val="58"/>
        <w:keepNext w:val="0"/>
        <w:numPr>
          <w:ilvl w:val="0"/>
          <w:numId w:val="5"/>
        </w:numPr>
        <w:topLinePunct/>
        <w:spacing w:before="0" w:after="0" w:line="360" w:lineRule="auto"/>
        <w:jc w:val="left"/>
        <w:outlineLvl w:val="0"/>
        <w:rPr>
          <w:rFonts w:ascii="Times New Roman" w:hAnsi="Times New Roman"/>
          <w:szCs w:val="32"/>
        </w:rPr>
      </w:pPr>
      <w:bookmarkStart w:id="37" w:name="_Toc351387603"/>
      <w:bookmarkStart w:id="38" w:name="_Toc78988839"/>
      <w:bookmarkStart w:id="39" w:name="_Toc407176771"/>
      <w:r>
        <w:rPr>
          <w:rFonts w:ascii="Times New Roman" w:hAnsi="Times New Roman"/>
          <w:szCs w:val="32"/>
        </w:rPr>
        <w:t>综合剩余风险</w:t>
      </w:r>
      <w:bookmarkEnd w:id="36"/>
      <w:bookmarkEnd w:id="37"/>
      <w:bookmarkEnd w:id="38"/>
      <w:bookmarkEnd w:id="39"/>
    </w:p>
    <w:p>
      <w:pPr>
        <w:topLinePunct/>
        <w:spacing w:line="360" w:lineRule="auto"/>
        <w:ind w:firstLine="480" w:firstLineChars="200"/>
        <w:jc w:val="left"/>
        <w:rPr>
          <w:iCs/>
          <w:color w:val="000000" w:themeColor="text1"/>
          <w:sz w:val="24"/>
          <w14:textFill>
            <w14:solidFill>
              <w14:schemeClr w14:val="tx1"/>
            </w14:solidFill>
          </w14:textFill>
        </w:rPr>
      </w:pPr>
      <w:r>
        <w:rPr>
          <w:iCs/>
          <w:color w:val="000000" w:themeColor="text1"/>
          <w:sz w:val="24"/>
          <w14:textFill>
            <w14:solidFill>
              <w14:schemeClr w14:val="tx1"/>
            </w14:solidFill>
          </w14:textFill>
        </w:rPr>
        <w:t>以上分析判定了危害，对每个危害处境的风险进行的估计和评价，并采取了风险控制措施以降低风险。</w:t>
      </w:r>
    </w:p>
    <w:p>
      <w:pPr>
        <w:topLinePunct/>
        <w:spacing w:line="360" w:lineRule="auto"/>
        <w:ind w:firstLine="480" w:firstLineChars="200"/>
        <w:jc w:val="left"/>
        <w:rPr>
          <w:iCs/>
          <w:color w:val="000000" w:themeColor="text1"/>
          <w:sz w:val="24"/>
          <w14:textFill>
            <w14:solidFill>
              <w14:schemeClr w14:val="tx1"/>
            </w14:solidFill>
          </w14:textFill>
        </w:rPr>
      </w:pPr>
      <w:r>
        <w:rPr>
          <w:iCs/>
          <w:color w:val="000000" w:themeColor="text1"/>
          <w:sz w:val="24"/>
          <w14:textFill>
            <w14:solidFill>
              <w14:schemeClr w14:val="tx1"/>
            </w14:solidFill>
          </w14:textFill>
        </w:rPr>
        <w:t>所有识别出的危害的剩余风险是可接受的，说明书以及其他随附文件中提供了必要的警告和注释，以公示剩余风险。</w:t>
      </w:r>
    </w:p>
    <w:p>
      <w:pPr>
        <w:topLinePunct/>
        <w:spacing w:line="360" w:lineRule="auto"/>
        <w:ind w:firstLine="480" w:firstLineChars="200"/>
        <w:jc w:val="left"/>
        <w:rPr>
          <w:sz w:val="24"/>
        </w:rPr>
      </w:pPr>
    </w:p>
    <w:p>
      <w:pPr>
        <w:pStyle w:val="58"/>
        <w:keepNext w:val="0"/>
        <w:numPr>
          <w:ilvl w:val="0"/>
          <w:numId w:val="5"/>
        </w:numPr>
        <w:topLinePunct/>
        <w:spacing w:before="0" w:after="0" w:line="360" w:lineRule="auto"/>
        <w:jc w:val="left"/>
        <w:outlineLvl w:val="0"/>
        <w:rPr>
          <w:rFonts w:ascii="Times New Roman" w:hAnsi="Times New Roman"/>
          <w:szCs w:val="32"/>
        </w:rPr>
      </w:pPr>
      <w:bookmarkStart w:id="40" w:name="_Toc407176772"/>
      <w:bookmarkStart w:id="41" w:name="_Toc277082868"/>
      <w:bookmarkStart w:id="42" w:name="_Toc351387604"/>
      <w:bookmarkStart w:id="43" w:name="_Toc78988840"/>
      <w:r>
        <w:rPr>
          <w:rFonts w:ascii="Times New Roman" w:hAnsi="Times New Roman"/>
          <w:szCs w:val="32"/>
        </w:rPr>
        <w:t>结论</w:t>
      </w:r>
      <w:bookmarkEnd w:id="40"/>
      <w:bookmarkEnd w:id="41"/>
      <w:bookmarkEnd w:id="42"/>
      <w:bookmarkEnd w:id="43"/>
    </w:p>
    <w:p>
      <w:pPr>
        <w:topLinePunct/>
        <w:spacing w:line="360" w:lineRule="auto"/>
        <w:ind w:firstLine="480" w:firstLineChars="200"/>
        <w:jc w:val="left"/>
        <w:rPr>
          <w:sz w:val="24"/>
        </w:rPr>
      </w:pPr>
      <w:r>
        <w:rPr>
          <w:sz w:val="24"/>
        </w:rPr>
        <w:t>评审小组对所有剩余风险进行了综合分析，考虑所有单个剩余风险共同影响下的作用，评审结果认为：产品综合剩余风险可接受，以下为具体评价方面：</w:t>
      </w:r>
    </w:p>
    <w:p>
      <w:pPr>
        <w:topLinePunct/>
        <w:spacing w:line="360" w:lineRule="auto"/>
        <w:ind w:firstLine="480" w:firstLineChars="200"/>
        <w:jc w:val="left"/>
        <w:rPr>
          <w:sz w:val="24"/>
        </w:rPr>
      </w:pPr>
      <w:r>
        <w:rPr>
          <w:sz w:val="24"/>
        </w:rPr>
        <w:t>1）单个风险的风险控制是否有相互矛盾的要求？</w:t>
      </w:r>
    </w:p>
    <w:p>
      <w:pPr>
        <w:topLinePunct/>
        <w:spacing w:line="360" w:lineRule="auto"/>
        <w:ind w:firstLine="480" w:firstLineChars="200"/>
        <w:jc w:val="left"/>
        <w:rPr>
          <w:color w:val="000000" w:themeColor="text1"/>
          <w:sz w:val="24"/>
          <w14:textFill>
            <w14:solidFill>
              <w14:schemeClr w14:val="tx1"/>
            </w14:solidFill>
          </w14:textFill>
        </w:rPr>
      </w:pPr>
      <w:r>
        <w:rPr>
          <w:color w:val="000000" w:themeColor="text1"/>
          <w:sz w:val="24"/>
          <w14:textFill>
            <w14:solidFill>
              <w14:schemeClr w14:val="tx1"/>
            </w14:solidFill>
          </w14:textFill>
        </w:rPr>
        <w:t>结论：尚未发现现有风险控制措施有相互矛盾的情况。</w:t>
      </w:r>
    </w:p>
    <w:p>
      <w:pPr>
        <w:topLinePunct/>
        <w:spacing w:line="360" w:lineRule="auto"/>
        <w:ind w:firstLine="480" w:firstLineChars="200"/>
        <w:jc w:val="left"/>
        <w:rPr>
          <w:color w:val="000000" w:themeColor="text1"/>
          <w:sz w:val="24"/>
          <w14:textFill>
            <w14:solidFill>
              <w14:schemeClr w14:val="tx1"/>
            </w14:solidFill>
          </w14:textFill>
        </w:rPr>
      </w:pPr>
      <w:r>
        <w:rPr>
          <w:color w:val="000000" w:themeColor="text1"/>
          <w:sz w:val="24"/>
          <w14:textFill>
            <w14:solidFill>
              <w14:schemeClr w14:val="tx1"/>
            </w14:solidFill>
          </w14:textFill>
        </w:rPr>
        <w:t>2）警告的评审（包括警告是否过多，过多的警告可降低单个警告的效果）</w:t>
      </w:r>
    </w:p>
    <w:p>
      <w:pPr>
        <w:topLinePunct/>
        <w:spacing w:line="360" w:lineRule="auto"/>
        <w:ind w:firstLine="480" w:firstLineChars="200"/>
        <w:jc w:val="left"/>
        <w:rPr>
          <w:color w:val="000000" w:themeColor="text1"/>
          <w:sz w:val="24"/>
          <w14:textFill>
            <w14:solidFill>
              <w14:schemeClr w14:val="tx1"/>
            </w14:solidFill>
          </w14:textFill>
        </w:rPr>
      </w:pPr>
      <w:r>
        <w:rPr>
          <w:color w:val="000000" w:themeColor="text1"/>
          <w:sz w:val="24"/>
          <w14:textFill>
            <w14:solidFill>
              <w14:schemeClr w14:val="tx1"/>
            </w14:solidFill>
          </w14:textFill>
        </w:rPr>
        <w:t>结论：警告的提示清晰，符合规范。在使用设计方法和防护措施不可行或无法降低风险的情况下，才使用警告和安全性信息，并没有出现过分依赖警告的情况。</w:t>
      </w:r>
    </w:p>
    <w:p>
      <w:pPr>
        <w:topLinePunct/>
        <w:spacing w:line="360" w:lineRule="auto"/>
        <w:ind w:firstLine="480" w:firstLineChars="200"/>
        <w:jc w:val="left"/>
        <w:rPr>
          <w:color w:val="000000" w:themeColor="text1"/>
          <w:sz w:val="24"/>
          <w14:textFill>
            <w14:solidFill>
              <w14:schemeClr w14:val="tx1"/>
            </w14:solidFill>
          </w14:textFill>
        </w:rPr>
      </w:pPr>
      <w:r>
        <w:rPr>
          <w:color w:val="000000" w:themeColor="text1"/>
          <w:sz w:val="24"/>
          <w14:textFill>
            <w14:solidFill>
              <w14:schemeClr w14:val="tx1"/>
            </w14:solidFill>
          </w14:textFill>
        </w:rPr>
        <w:t>3）风险控制措施是否是可执行的？</w:t>
      </w:r>
    </w:p>
    <w:p>
      <w:pPr>
        <w:topLinePunct/>
        <w:spacing w:line="360" w:lineRule="auto"/>
        <w:ind w:firstLine="480" w:firstLineChars="200"/>
        <w:jc w:val="left"/>
        <w:rPr>
          <w:color w:val="000000" w:themeColor="text1"/>
          <w:sz w:val="24"/>
          <w14:textFill>
            <w14:solidFill>
              <w14:schemeClr w14:val="tx1"/>
            </w14:solidFill>
          </w14:textFill>
        </w:rPr>
      </w:pPr>
      <w:r>
        <w:rPr>
          <w:color w:val="000000" w:themeColor="text1"/>
          <w:sz w:val="24"/>
          <w14:textFill>
            <w14:solidFill>
              <w14:schemeClr w14:val="tx1"/>
            </w14:solidFill>
          </w14:textFill>
        </w:rPr>
        <w:t>结论：所有的风险控制措施都可执行，并且在执行后已得到充分验证。</w:t>
      </w:r>
    </w:p>
    <w:p>
      <w:pPr>
        <w:topLinePunct/>
        <w:spacing w:line="360" w:lineRule="auto"/>
        <w:ind w:firstLine="480" w:firstLineChars="200"/>
        <w:jc w:val="left"/>
        <w:rPr>
          <w:sz w:val="24"/>
        </w:rPr>
      </w:pPr>
      <w:r>
        <w:rPr>
          <w:sz w:val="24"/>
        </w:rPr>
        <w:t>4）评审小组结论</w:t>
      </w:r>
    </w:p>
    <w:p>
      <w:pPr>
        <w:topLinePunct/>
        <w:spacing w:line="360" w:lineRule="auto"/>
        <w:ind w:firstLine="480" w:firstLineChars="200"/>
        <w:jc w:val="left"/>
        <w:rPr>
          <w:sz w:val="24"/>
        </w:rPr>
      </w:pPr>
      <w:r>
        <w:rPr>
          <w:sz w:val="24"/>
        </w:rPr>
        <w:t>风险管理评审小组经过对评审，一致认为：</w:t>
      </w:r>
    </w:p>
    <w:p>
      <w:pPr>
        <w:topLinePunct/>
        <w:spacing w:line="360" w:lineRule="auto"/>
        <w:ind w:firstLine="480" w:firstLineChars="200"/>
        <w:jc w:val="left"/>
        <w:rPr>
          <w:iCs/>
          <w:color w:val="000000" w:themeColor="text1"/>
          <w:sz w:val="24"/>
          <w14:textFill>
            <w14:solidFill>
              <w14:schemeClr w14:val="tx1"/>
            </w14:solidFill>
          </w14:textFill>
        </w:rPr>
      </w:pPr>
      <w:r>
        <w:rPr>
          <w:iCs/>
          <w:color w:val="000000" w:themeColor="text1"/>
          <w:sz w:val="24"/>
          <w14:textFill>
            <w14:solidFill>
              <w14:schemeClr w14:val="tx1"/>
            </w14:solidFill>
          </w14:textFill>
        </w:rPr>
        <w:t>—风险管理计划已被适当地实施；</w:t>
      </w:r>
    </w:p>
    <w:p>
      <w:pPr>
        <w:topLinePunct/>
        <w:spacing w:line="360" w:lineRule="auto"/>
        <w:ind w:firstLine="480" w:firstLineChars="200"/>
        <w:jc w:val="left"/>
        <w:rPr>
          <w:iCs/>
          <w:color w:val="000000" w:themeColor="text1"/>
          <w:sz w:val="24"/>
          <w14:textFill>
            <w14:solidFill>
              <w14:schemeClr w14:val="tx1"/>
            </w14:solidFill>
          </w14:textFill>
        </w:rPr>
      </w:pPr>
      <w:r>
        <w:rPr>
          <w:iCs/>
          <w:color w:val="000000" w:themeColor="text1"/>
          <w:sz w:val="24"/>
          <w14:textFill>
            <w14:solidFill>
              <w14:schemeClr w14:val="tx1"/>
            </w14:solidFill>
          </w14:textFill>
        </w:rPr>
        <w:t>—综合剩余风险是可接受的；</w:t>
      </w:r>
    </w:p>
    <w:p>
      <w:pPr>
        <w:topLinePunct/>
        <w:spacing w:line="360" w:lineRule="auto"/>
        <w:ind w:firstLine="480" w:firstLineChars="200"/>
        <w:jc w:val="left"/>
        <w:rPr>
          <w:iCs/>
          <w:color w:val="000000" w:themeColor="text1"/>
          <w:sz w:val="24"/>
          <w14:textFill>
            <w14:solidFill>
              <w14:schemeClr w14:val="tx1"/>
            </w14:solidFill>
          </w14:textFill>
        </w:rPr>
      </w:pPr>
      <w:r>
        <w:rPr>
          <w:iCs/>
          <w:color w:val="000000" w:themeColor="text1"/>
          <w:sz w:val="24"/>
          <w14:textFill>
            <w14:solidFill>
              <w14:schemeClr w14:val="tx1"/>
            </w14:solidFill>
          </w14:textFill>
        </w:rPr>
        <w:t>—已有适当方法获得相关生产和生产后信息。</w:t>
      </w:r>
    </w:p>
    <w:p>
      <w:pPr>
        <w:topLinePunct/>
        <w:spacing w:line="360" w:lineRule="auto"/>
        <w:ind w:firstLine="480" w:firstLineChars="200"/>
        <w:jc w:val="left"/>
        <w:rPr>
          <w:iCs/>
          <w:color w:val="000000" w:themeColor="text1"/>
          <w:sz w:val="24"/>
          <w14:textFill>
            <w14:solidFill>
              <w14:schemeClr w14:val="tx1"/>
            </w14:solidFill>
          </w14:textFill>
        </w:rPr>
      </w:pPr>
      <w:r>
        <w:rPr>
          <w:iCs/>
          <w:color w:val="000000" w:themeColor="text1"/>
          <w:sz w:val="24"/>
          <w14:textFill>
            <w14:solidFill>
              <w14:schemeClr w14:val="tx1"/>
            </w14:solidFill>
          </w14:textFill>
        </w:rPr>
        <w:t>全部剩余风险处于风险可接受准则的可接受范围内，且受益超过风险。</w:t>
      </w:r>
    </w:p>
    <w:p>
      <w:pPr>
        <w:topLinePunct/>
        <w:spacing w:line="360" w:lineRule="auto"/>
        <w:ind w:firstLine="480" w:firstLineChars="200"/>
        <w:jc w:val="left"/>
        <w:rPr>
          <w:sz w:val="24"/>
        </w:rPr>
      </w:pPr>
    </w:p>
    <w:p>
      <w:pPr>
        <w:pStyle w:val="58"/>
        <w:keepNext w:val="0"/>
        <w:numPr>
          <w:ilvl w:val="0"/>
          <w:numId w:val="5"/>
        </w:numPr>
        <w:topLinePunct/>
        <w:spacing w:before="0" w:after="0" w:line="360" w:lineRule="auto"/>
        <w:jc w:val="left"/>
        <w:outlineLvl w:val="0"/>
        <w:rPr>
          <w:rFonts w:ascii="Times New Roman" w:hAnsi="Times New Roman"/>
          <w:szCs w:val="32"/>
        </w:rPr>
      </w:pPr>
      <w:bookmarkStart w:id="44" w:name="_Toc407176773"/>
      <w:bookmarkStart w:id="45" w:name="_Toc78988841"/>
      <w:r>
        <w:rPr>
          <w:rFonts w:ascii="Times New Roman" w:hAnsi="Times New Roman"/>
          <w:szCs w:val="32"/>
        </w:rPr>
        <w:t>生产后信息</w:t>
      </w:r>
      <w:bookmarkEnd w:id="44"/>
      <w:bookmarkEnd w:id="45"/>
    </w:p>
    <w:p>
      <w:pPr>
        <w:rPr>
          <w:sz w:val="24"/>
        </w:rPr>
      </w:pPr>
    </w:p>
    <w:p>
      <w:pPr>
        <w:jc w:val="center"/>
        <w:rPr>
          <w:sz w:val="24"/>
        </w:rPr>
      </w:pPr>
      <w:r>
        <w:rPr>
          <w:rFonts w:hint="eastAsia"/>
          <w:sz w:val="24"/>
        </w:rPr>
        <w:t>表4.生产后信息</w:t>
      </w:r>
    </w:p>
    <w:tbl>
      <w:tblPr>
        <w:tblStyle w:val="36"/>
        <w:tblW w:w="7988" w:type="dxa"/>
        <w:tblInd w:w="5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96"/>
        <w:gridCol w:w="1947"/>
        <w:gridCol w:w="2314"/>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6" w:type="dxa"/>
            <w:vAlign w:val="center"/>
          </w:tcPr>
          <w:p>
            <w:pPr>
              <w:pStyle w:val="108"/>
              <w:widowControl w:val="0"/>
              <w:ind w:firstLine="0" w:firstLineChars="0"/>
              <w:jc w:val="center"/>
              <w:rPr>
                <w:rFonts w:ascii="Times New Roman"/>
                <w:sz w:val="24"/>
                <w:szCs w:val="21"/>
              </w:rPr>
            </w:pPr>
            <w:r>
              <w:rPr>
                <w:rFonts w:ascii="Times New Roman"/>
                <w:sz w:val="24"/>
                <w:szCs w:val="21"/>
              </w:rPr>
              <w:t>信息类型</w:t>
            </w:r>
          </w:p>
        </w:tc>
        <w:tc>
          <w:tcPr>
            <w:tcW w:w="1947" w:type="dxa"/>
            <w:vAlign w:val="center"/>
          </w:tcPr>
          <w:p>
            <w:pPr>
              <w:pStyle w:val="108"/>
              <w:widowControl w:val="0"/>
              <w:ind w:firstLine="0" w:firstLineChars="0"/>
              <w:jc w:val="center"/>
              <w:rPr>
                <w:rFonts w:ascii="Times New Roman"/>
                <w:sz w:val="24"/>
                <w:szCs w:val="21"/>
              </w:rPr>
            </w:pPr>
            <w:r>
              <w:rPr>
                <w:rFonts w:ascii="Times New Roman"/>
                <w:sz w:val="24"/>
                <w:szCs w:val="21"/>
              </w:rPr>
              <w:t>序号</w:t>
            </w:r>
          </w:p>
        </w:tc>
        <w:tc>
          <w:tcPr>
            <w:tcW w:w="2314" w:type="dxa"/>
            <w:vAlign w:val="center"/>
          </w:tcPr>
          <w:p>
            <w:pPr>
              <w:pStyle w:val="108"/>
              <w:widowControl w:val="0"/>
              <w:ind w:firstLine="0" w:firstLineChars="0"/>
              <w:jc w:val="center"/>
              <w:rPr>
                <w:rFonts w:ascii="Times New Roman"/>
                <w:sz w:val="24"/>
                <w:szCs w:val="21"/>
              </w:rPr>
            </w:pPr>
            <w:r>
              <w:rPr>
                <w:rFonts w:ascii="Times New Roman"/>
                <w:sz w:val="24"/>
                <w:szCs w:val="21"/>
              </w:rPr>
              <w:t>信息内容</w:t>
            </w:r>
          </w:p>
        </w:tc>
        <w:tc>
          <w:tcPr>
            <w:tcW w:w="2131" w:type="dxa"/>
            <w:vAlign w:val="center"/>
          </w:tcPr>
          <w:p>
            <w:pPr>
              <w:pStyle w:val="108"/>
              <w:widowControl w:val="0"/>
              <w:ind w:firstLine="0" w:firstLineChars="0"/>
              <w:jc w:val="center"/>
              <w:rPr>
                <w:rFonts w:ascii="Times New Roman"/>
                <w:sz w:val="24"/>
                <w:szCs w:val="21"/>
              </w:rPr>
            </w:pPr>
            <w:r>
              <w:rPr>
                <w:rFonts w:ascii="Times New Roman"/>
                <w:sz w:val="24"/>
                <w:szCs w:val="21"/>
              </w:rPr>
              <w:t>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6" w:type="dxa"/>
            <w:vMerge w:val="restart"/>
            <w:vAlign w:val="center"/>
          </w:tcPr>
          <w:p>
            <w:pPr>
              <w:pStyle w:val="108"/>
              <w:widowControl w:val="0"/>
              <w:ind w:firstLine="0" w:firstLineChars="0"/>
              <w:jc w:val="center"/>
              <w:rPr>
                <w:rFonts w:ascii="Times New Roman"/>
                <w:sz w:val="24"/>
                <w:szCs w:val="21"/>
              </w:rPr>
            </w:pPr>
            <w:r>
              <w:rPr>
                <w:rFonts w:ascii="Times New Roman"/>
                <w:sz w:val="24"/>
                <w:szCs w:val="21"/>
              </w:rPr>
              <w:t>内部信息</w:t>
            </w:r>
          </w:p>
        </w:tc>
        <w:tc>
          <w:tcPr>
            <w:tcW w:w="1947" w:type="dxa"/>
            <w:vAlign w:val="center"/>
          </w:tcPr>
          <w:p>
            <w:pPr>
              <w:pStyle w:val="108"/>
              <w:widowControl w:val="0"/>
              <w:ind w:firstLine="0" w:firstLineChars="0"/>
              <w:jc w:val="center"/>
              <w:rPr>
                <w:rFonts w:ascii="Times New Roman"/>
                <w:sz w:val="24"/>
                <w:szCs w:val="21"/>
              </w:rPr>
            </w:pPr>
            <w:r>
              <w:rPr>
                <w:rFonts w:ascii="Times New Roman"/>
                <w:sz w:val="24"/>
                <w:szCs w:val="21"/>
              </w:rPr>
              <w:t>1</w:t>
            </w:r>
          </w:p>
        </w:tc>
        <w:tc>
          <w:tcPr>
            <w:tcW w:w="2314" w:type="dxa"/>
            <w:vAlign w:val="center"/>
          </w:tcPr>
          <w:p>
            <w:pPr>
              <w:pStyle w:val="108"/>
              <w:widowControl w:val="0"/>
              <w:ind w:firstLine="0" w:firstLineChars="0"/>
              <w:jc w:val="center"/>
              <w:rPr>
                <w:rFonts w:ascii="Times New Roman"/>
                <w:sz w:val="24"/>
                <w:szCs w:val="21"/>
              </w:rPr>
            </w:pPr>
            <w:r>
              <w:rPr>
                <w:rFonts w:ascii="Times New Roman"/>
                <w:sz w:val="24"/>
                <w:szCs w:val="21"/>
              </w:rPr>
              <w:t>研发过程</w:t>
            </w:r>
          </w:p>
        </w:tc>
        <w:tc>
          <w:tcPr>
            <w:tcW w:w="2131" w:type="dxa"/>
            <w:vAlign w:val="center"/>
          </w:tcPr>
          <w:p>
            <w:pPr>
              <w:pStyle w:val="108"/>
              <w:widowControl w:val="0"/>
              <w:ind w:firstLine="0" w:firstLineChars="0"/>
              <w:jc w:val="center"/>
              <w:rPr>
                <w:rFonts w:ascii="Times New Roman"/>
                <w:sz w:val="24"/>
                <w:szCs w:val="21"/>
              </w:rPr>
            </w:pPr>
            <w:r>
              <w:rPr>
                <w:rFonts w:ascii="Times New Roman"/>
                <w:sz w:val="24"/>
                <w:szCs w:val="21"/>
              </w:rPr>
              <w:t>研发部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6" w:type="dxa"/>
            <w:vMerge w:val="continue"/>
            <w:vAlign w:val="center"/>
          </w:tcPr>
          <w:p>
            <w:pPr>
              <w:pStyle w:val="108"/>
              <w:widowControl w:val="0"/>
              <w:ind w:firstLine="0" w:firstLineChars="0"/>
              <w:jc w:val="center"/>
              <w:rPr>
                <w:rFonts w:ascii="Times New Roman"/>
                <w:sz w:val="24"/>
                <w:szCs w:val="21"/>
              </w:rPr>
            </w:pPr>
          </w:p>
        </w:tc>
        <w:tc>
          <w:tcPr>
            <w:tcW w:w="1947" w:type="dxa"/>
            <w:vAlign w:val="center"/>
          </w:tcPr>
          <w:p>
            <w:pPr>
              <w:pStyle w:val="108"/>
              <w:widowControl w:val="0"/>
              <w:ind w:firstLine="0" w:firstLineChars="0"/>
              <w:jc w:val="center"/>
              <w:rPr>
                <w:rFonts w:ascii="Times New Roman"/>
                <w:sz w:val="24"/>
                <w:szCs w:val="21"/>
              </w:rPr>
            </w:pPr>
            <w:r>
              <w:rPr>
                <w:rFonts w:ascii="Times New Roman"/>
                <w:sz w:val="24"/>
                <w:szCs w:val="21"/>
              </w:rPr>
              <w:t>2</w:t>
            </w:r>
          </w:p>
        </w:tc>
        <w:tc>
          <w:tcPr>
            <w:tcW w:w="2314" w:type="dxa"/>
            <w:vAlign w:val="center"/>
          </w:tcPr>
          <w:p>
            <w:pPr>
              <w:pStyle w:val="108"/>
              <w:widowControl w:val="0"/>
              <w:ind w:firstLine="0" w:firstLineChars="0"/>
              <w:jc w:val="center"/>
              <w:rPr>
                <w:rFonts w:ascii="Times New Roman"/>
                <w:sz w:val="24"/>
                <w:szCs w:val="21"/>
              </w:rPr>
            </w:pPr>
            <w:r>
              <w:rPr>
                <w:rFonts w:ascii="Times New Roman"/>
                <w:sz w:val="24"/>
                <w:szCs w:val="21"/>
              </w:rPr>
              <w:t>检验过程</w:t>
            </w:r>
          </w:p>
        </w:tc>
        <w:tc>
          <w:tcPr>
            <w:tcW w:w="2131" w:type="dxa"/>
            <w:vAlign w:val="center"/>
          </w:tcPr>
          <w:p>
            <w:pPr>
              <w:pStyle w:val="108"/>
              <w:widowControl w:val="0"/>
              <w:ind w:firstLine="0" w:firstLineChars="0"/>
              <w:jc w:val="center"/>
              <w:rPr>
                <w:rFonts w:ascii="Times New Roman"/>
                <w:sz w:val="24"/>
                <w:szCs w:val="21"/>
              </w:rPr>
            </w:pPr>
            <w:r>
              <w:rPr>
                <w:rFonts w:ascii="Times New Roman"/>
                <w:sz w:val="24"/>
                <w:szCs w:val="21"/>
              </w:rPr>
              <w:t>测试组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6" w:type="dxa"/>
            <w:vMerge w:val="continue"/>
            <w:vAlign w:val="center"/>
          </w:tcPr>
          <w:p>
            <w:pPr>
              <w:pStyle w:val="108"/>
              <w:widowControl w:val="0"/>
              <w:ind w:firstLine="0" w:firstLineChars="0"/>
              <w:jc w:val="center"/>
              <w:rPr>
                <w:rFonts w:ascii="Times New Roman"/>
                <w:sz w:val="24"/>
                <w:szCs w:val="21"/>
              </w:rPr>
            </w:pPr>
          </w:p>
        </w:tc>
        <w:tc>
          <w:tcPr>
            <w:tcW w:w="1947" w:type="dxa"/>
            <w:vAlign w:val="center"/>
          </w:tcPr>
          <w:p>
            <w:pPr>
              <w:pStyle w:val="108"/>
              <w:widowControl w:val="0"/>
              <w:ind w:firstLine="0" w:firstLineChars="0"/>
              <w:jc w:val="center"/>
              <w:rPr>
                <w:rFonts w:ascii="Times New Roman"/>
                <w:sz w:val="24"/>
                <w:szCs w:val="21"/>
              </w:rPr>
            </w:pPr>
            <w:r>
              <w:rPr>
                <w:rFonts w:ascii="Times New Roman"/>
                <w:sz w:val="24"/>
                <w:szCs w:val="21"/>
              </w:rPr>
              <w:t>3</w:t>
            </w:r>
          </w:p>
        </w:tc>
        <w:tc>
          <w:tcPr>
            <w:tcW w:w="2314" w:type="dxa"/>
            <w:vAlign w:val="center"/>
          </w:tcPr>
          <w:p>
            <w:pPr>
              <w:pStyle w:val="108"/>
              <w:widowControl w:val="0"/>
              <w:ind w:firstLine="0" w:firstLineChars="0"/>
              <w:jc w:val="center"/>
              <w:rPr>
                <w:rFonts w:ascii="Times New Roman"/>
                <w:sz w:val="24"/>
                <w:szCs w:val="21"/>
              </w:rPr>
            </w:pPr>
            <w:r>
              <w:rPr>
                <w:rFonts w:ascii="Times New Roman"/>
                <w:sz w:val="24"/>
                <w:szCs w:val="21"/>
              </w:rPr>
              <w:t>调试过程</w:t>
            </w:r>
          </w:p>
        </w:tc>
        <w:tc>
          <w:tcPr>
            <w:tcW w:w="2131" w:type="dxa"/>
            <w:vAlign w:val="center"/>
          </w:tcPr>
          <w:p>
            <w:pPr>
              <w:pStyle w:val="108"/>
              <w:widowControl w:val="0"/>
              <w:ind w:firstLine="0" w:firstLineChars="0"/>
              <w:jc w:val="center"/>
              <w:rPr>
                <w:rFonts w:ascii="Times New Roman"/>
                <w:sz w:val="24"/>
                <w:szCs w:val="21"/>
              </w:rPr>
            </w:pPr>
            <w:r>
              <w:rPr>
                <w:rFonts w:ascii="Times New Roman"/>
                <w:sz w:val="24"/>
                <w:szCs w:val="21"/>
              </w:rPr>
              <w:t>研发部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6" w:type="dxa"/>
            <w:vMerge w:val="continue"/>
            <w:vAlign w:val="center"/>
          </w:tcPr>
          <w:p>
            <w:pPr>
              <w:pStyle w:val="108"/>
              <w:widowControl w:val="0"/>
              <w:ind w:firstLine="0" w:firstLineChars="0"/>
              <w:jc w:val="center"/>
              <w:rPr>
                <w:rFonts w:ascii="Times New Roman"/>
                <w:sz w:val="24"/>
                <w:szCs w:val="21"/>
              </w:rPr>
            </w:pPr>
          </w:p>
        </w:tc>
        <w:tc>
          <w:tcPr>
            <w:tcW w:w="1947" w:type="dxa"/>
            <w:vAlign w:val="center"/>
          </w:tcPr>
          <w:p>
            <w:pPr>
              <w:pStyle w:val="108"/>
              <w:widowControl w:val="0"/>
              <w:ind w:firstLine="0" w:firstLineChars="0"/>
              <w:jc w:val="center"/>
              <w:rPr>
                <w:rFonts w:ascii="Times New Roman"/>
                <w:sz w:val="24"/>
                <w:szCs w:val="21"/>
              </w:rPr>
            </w:pPr>
            <w:r>
              <w:rPr>
                <w:rFonts w:ascii="Times New Roman"/>
                <w:sz w:val="24"/>
                <w:szCs w:val="21"/>
              </w:rPr>
              <w:t>4</w:t>
            </w:r>
          </w:p>
        </w:tc>
        <w:tc>
          <w:tcPr>
            <w:tcW w:w="2314" w:type="dxa"/>
            <w:vAlign w:val="center"/>
          </w:tcPr>
          <w:p>
            <w:pPr>
              <w:pStyle w:val="108"/>
              <w:widowControl w:val="0"/>
              <w:ind w:firstLine="0" w:firstLineChars="0"/>
              <w:jc w:val="center"/>
              <w:rPr>
                <w:rFonts w:ascii="Times New Roman"/>
                <w:sz w:val="24"/>
                <w:szCs w:val="21"/>
              </w:rPr>
            </w:pPr>
            <w:r>
              <w:rPr>
                <w:rFonts w:ascii="Times New Roman"/>
                <w:sz w:val="24"/>
                <w:szCs w:val="21"/>
              </w:rPr>
              <w:t>安装</w:t>
            </w:r>
          </w:p>
        </w:tc>
        <w:tc>
          <w:tcPr>
            <w:tcW w:w="2131" w:type="dxa"/>
            <w:vAlign w:val="center"/>
          </w:tcPr>
          <w:p>
            <w:pPr>
              <w:pStyle w:val="108"/>
              <w:widowControl w:val="0"/>
              <w:ind w:firstLine="0" w:firstLineChars="0"/>
              <w:jc w:val="center"/>
              <w:rPr>
                <w:rFonts w:ascii="Times New Roman"/>
                <w:sz w:val="24"/>
                <w:szCs w:val="21"/>
              </w:rPr>
            </w:pPr>
            <w:r>
              <w:rPr>
                <w:rFonts w:ascii="Times New Roman"/>
                <w:sz w:val="24"/>
                <w:szCs w:val="21"/>
              </w:rPr>
              <w:t>销售部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6" w:type="dxa"/>
            <w:vMerge w:val="restart"/>
            <w:vAlign w:val="center"/>
          </w:tcPr>
          <w:p>
            <w:pPr>
              <w:pStyle w:val="108"/>
              <w:widowControl w:val="0"/>
              <w:ind w:firstLine="0" w:firstLineChars="0"/>
              <w:jc w:val="center"/>
              <w:rPr>
                <w:rFonts w:ascii="Times New Roman"/>
                <w:sz w:val="24"/>
                <w:szCs w:val="21"/>
              </w:rPr>
            </w:pPr>
            <w:r>
              <w:rPr>
                <w:rFonts w:ascii="Times New Roman"/>
                <w:sz w:val="24"/>
                <w:szCs w:val="21"/>
              </w:rPr>
              <w:t>外部信息</w:t>
            </w:r>
          </w:p>
        </w:tc>
        <w:tc>
          <w:tcPr>
            <w:tcW w:w="1947" w:type="dxa"/>
            <w:vAlign w:val="center"/>
          </w:tcPr>
          <w:p>
            <w:pPr>
              <w:pStyle w:val="108"/>
              <w:widowControl w:val="0"/>
              <w:ind w:firstLine="0" w:firstLineChars="0"/>
              <w:jc w:val="center"/>
              <w:rPr>
                <w:rFonts w:ascii="Times New Roman"/>
                <w:sz w:val="24"/>
                <w:szCs w:val="21"/>
              </w:rPr>
            </w:pPr>
            <w:r>
              <w:rPr>
                <w:rFonts w:ascii="Times New Roman"/>
                <w:sz w:val="24"/>
                <w:szCs w:val="21"/>
              </w:rPr>
              <w:t>1</w:t>
            </w:r>
          </w:p>
        </w:tc>
        <w:tc>
          <w:tcPr>
            <w:tcW w:w="2314" w:type="dxa"/>
            <w:vAlign w:val="center"/>
          </w:tcPr>
          <w:p>
            <w:pPr>
              <w:pStyle w:val="108"/>
              <w:widowControl w:val="0"/>
              <w:ind w:firstLine="0" w:firstLineChars="0"/>
              <w:jc w:val="center"/>
              <w:rPr>
                <w:rFonts w:ascii="Times New Roman"/>
                <w:sz w:val="24"/>
                <w:szCs w:val="21"/>
              </w:rPr>
            </w:pPr>
            <w:r>
              <w:rPr>
                <w:rFonts w:ascii="Times New Roman"/>
                <w:sz w:val="24"/>
                <w:szCs w:val="21"/>
              </w:rPr>
              <w:t>顾客投诉</w:t>
            </w:r>
          </w:p>
        </w:tc>
        <w:tc>
          <w:tcPr>
            <w:tcW w:w="2131" w:type="dxa"/>
            <w:vAlign w:val="center"/>
          </w:tcPr>
          <w:p>
            <w:pPr>
              <w:pStyle w:val="108"/>
              <w:widowControl w:val="0"/>
              <w:ind w:firstLine="0" w:firstLineChars="0"/>
              <w:jc w:val="center"/>
              <w:rPr>
                <w:rFonts w:ascii="Times New Roman"/>
                <w:sz w:val="24"/>
                <w:szCs w:val="21"/>
              </w:rPr>
            </w:pPr>
            <w:r>
              <w:rPr>
                <w:rFonts w:ascii="Times New Roman"/>
                <w:sz w:val="24"/>
                <w:szCs w:val="21"/>
              </w:rPr>
              <w:t>用户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6" w:type="dxa"/>
            <w:vMerge w:val="continue"/>
            <w:vAlign w:val="center"/>
          </w:tcPr>
          <w:p>
            <w:pPr>
              <w:pStyle w:val="108"/>
              <w:widowControl w:val="0"/>
              <w:ind w:firstLine="0" w:firstLineChars="0"/>
              <w:jc w:val="center"/>
              <w:rPr>
                <w:rFonts w:ascii="Times New Roman"/>
                <w:sz w:val="24"/>
                <w:szCs w:val="21"/>
              </w:rPr>
            </w:pPr>
          </w:p>
        </w:tc>
        <w:tc>
          <w:tcPr>
            <w:tcW w:w="1947" w:type="dxa"/>
            <w:vAlign w:val="center"/>
          </w:tcPr>
          <w:p>
            <w:pPr>
              <w:pStyle w:val="108"/>
              <w:widowControl w:val="0"/>
              <w:ind w:firstLine="0" w:firstLineChars="0"/>
              <w:jc w:val="center"/>
              <w:rPr>
                <w:rFonts w:ascii="Times New Roman"/>
                <w:sz w:val="24"/>
                <w:szCs w:val="21"/>
              </w:rPr>
            </w:pPr>
            <w:r>
              <w:rPr>
                <w:rFonts w:ascii="Times New Roman"/>
                <w:sz w:val="24"/>
                <w:szCs w:val="21"/>
              </w:rPr>
              <w:t>2</w:t>
            </w:r>
          </w:p>
        </w:tc>
        <w:tc>
          <w:tcPr>
            <w:tcW w:w="2314" w:type="dxa"/>
            <w:vAlign w:val="center"/>
          </w:tcPr>
          <w:p>
            <w:pPr>
              <w:pStyle w:val="108"/>
              <w:widowControl w:val="0"/>
              <w:ind w:firstLine="0" w:firstLineChars="0"/>
              <w:jc w:val="center"/>
              <w:rPr>
                <w:rFonts w:ascii="Times New Roman"/>
                <w:sz w:val="24"/>
                <w:szCs w:val="21"/>
              </w:rPr>
            </w:pPr>
            <w:r>
              <w:rPr>
                <w:rFonts w:ascii="Times New Roman"/>
                <w:sz w:val="24"/>
                <w:szCs w:val="21"/>
              </w:rPr>
              <w:t>同类产品</w:t>
            </w:r>
          </w:p>
        </w:tc>
        <w:tc>
          <w:tcPr>
            <w:tcW w:w="2131" w:type="dxa"/>
            <w:vAlign w:val="center"/>
          </w:tcPr>
          <w:p>
            <w:pPr>
              <w:pStyle w:val="108"/>
              <w:widowControl w:val="0"/>
              <w:ind w:firstLine="0" w:firstLineChars="0"/>
              <w:jc w:val="center"/>
              <w:rPr>
                <w:rFonts w:ascii="Times New Roman"/>
                <w:sz w:val="24"/>
                <w:szCs w:val="21"/>
              </w:rPr>
            </w:pPr>
            <w:r>
              <w:rPr>
                <w:rFonts w:ascii="Times New Roman"/>
                <w:sz w:val="24"/>
                <w:szCs w:val="21"/>
              </w:rPr>
              <w:t>医疗制造商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6" w:type="dxa"/>
            <w:vMerge w:val="continue"/>
            <w:vAlign w:val="center"/>
          </w:tcPr>
          <w:p>
            <w:pPr>
              <w:pStyle w:val="108"/>
              <w:widowControl w:val="0"/>
              <w:ind w:firstLine="0" w:firstLineChars="0"/>
              <w:jc w:val="center"/>
              <w:rPr>
                <w:rFonts w:ascii="Times New Roman"/>
                <w:sz w:val="24"/>
                <w:szCs w:val="21"/>
              </w:rPr>
            </w:pPr>
          </w:p>
        </w:tc>
        <w:tc>
          <w:tcPr>
            <w:tcW w:w="1947" w:type="dxa"/>
            <w:vAlign w:val="center"/>
          </w:tcPr>
          <w:p>
            <w:pPr>
              <w:pStyle w:val="108"/>
              <w:widowControl w:val="0"/>
              <w:ind w:firstLine="0" w:firstLineChars="0"/>
              <w:jc w:val="center"/>
              <w:rPr>
                <w:rFonts w:ascii="Times New Roman"/>
                <w:sz w:val="24"/>
                <w:szCs w:val="21"/>
              </w:rPr>
            </w:pPr>
            <w:r>
              <w:rPr>
                <w:rFonts w:ascii="Times New Roman"/>
                <w:sz w:val="24"/>
                <w:szCs w:val="21"/>
              </w:rPr>
              <w:t>3</w:t>
            </w:r>
          </w:p>
        </w:tc>
        <w:tc>
          <w:tcPr>
            <w:tcW w:w="2314" w:type="dxa"/>
            <w:vAlign w:val="center"/>
          </w:tcPr>
          <w:p>
            <w:pPr>
              <w:pStyle w:val="108"/>
              <w:widowControl w:val="0"/>
              <w:ind w:firstLine="0" w:firstLineChars="0"/>
              <w:jc w:val="center"/>
              <w:rPr>
                <w:rFonts w:ascii="Times New Roman"/>
                <w:sz w:val="24"/>
                <w:szCs w:val="21"/>
              </w:rPr>
            </w:pPr>
            <w:r>
              <w:rPr>
                <w:rFonts w:ascii="Times New Roman"/>
                <w:sz w:val="24"/>
                <w:szCs w:val="21"/>
              </w:rPr>
              <w:t>临床应用</w:t>
            </w:r>
          </w:p>
        </w:tc>
        <w:tc>
          <w:tcPr>
            <w:tcW w:w="2131" w:type="dxa"/>
            <w:vAlign w:val="center"/>
          </w:tcPr>
          <w:p>
            <w:pPr>
              <w:pStyle w:val="108"/>
              <w:widowControl w:val="0"/>
              <w:ind w:firstLine="0" w:firstLineChars="0"/>
              <w:jc w:val="center"/>
              <w:rPr>
                <w:rFonts w:ascii="Times New Roman"/>
                <w:sz w:val="24"/>
                <w:szCs w:val="21"/>
              </w:rPr>
            </w:pPr>
            <w:r>
              <w:rPr>
                <w:rFonts w:ascii="Times New Roman"/>
                <w:sz w:val="24"/>
                <w:szCs w:val="21"/>
              </w:rPr>
              <w:t>医疗机构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6" w:type="dxa"/>
            <w:vMerge w:val="continue"/>
            <w:vAlign w:val="center"/>
          </w:tcPr>
          <w:p>
            <w:pPr>
              <w:pStyle w:val="108"/>
              <w:widowControl w:val="0"/>
              <w:ind w:firstLine="0" w:firstLineChars="0"/>
              <w:jc w:val="center"/>
              <w:rPr>
                <w:rFonts w:ascii="Times New Roman"/>
                <w:sz w:val="24"/>
                <w:szCs w:val="21"/>
              </w:rPr>
            </w:pPr>
          </w:p>
        </w:tc>
        <w:tc>
          <w:tcPr>
            <w:tcW w:w="1947" w:type="dxa"/>
            <w:vAlign w:val="center"/>
          </w:tcPr>
          <w:p>
            <w:pPr>
              <w:pStyle w:val="108"/>
              <w:widowControl w:val="0"/>
              <w:ind w:firstLine="0" w:firstLineChars="0"/>
              <w:jc w:val="center"/>
              <w:rPr>
                <w:rFonts w:ascii="Times New Roman"/>
                <w:sz w:val="24"/>
                <w:szCs w:val="21"/>
              </w:rPr>
            </w:pPr>
            <w:r>
              <w:rPr>
                <w:rFonts w:ascii="Times New Roman"/>
                <w:sz w:val="24"/>
                <w:szCs w:val="21"/>
              </w:rPr>
              <w:t>4</w:t>
            </w:r>
          </w:p>
        </w:tc>
        <w:tc>
          <w:tcPr>
            <w:tcW w:w="2314" w:type="dxa"/>
            <w:vAlign w:val="center"/>
          </w:tcPr>
          <w:p>
            <w:pPr>
              <w:pStyle w:val="108"/>
              <w:widowControl w:val="0"/>
              <w:ind w:firstLine="0" w:firstLineChars="0"/>
              <w:jc w:val="center"/>
              <w:rPr>
                <w:rFonts w:ascii="Times New Roman"/>
                <w:sz w:val="24"/>
                <w:szCs w:val="21"/>
              </w:rPr>
            </w:pPr>
            <w:r>
              <w:rPr>
                <w:rFonts w:ascii="Times New Roman"/>
                <w:sz w:val="24"/>
                <w:szCs w:val="21"/>
              </w:rPr>
              <w:t>不良事件</w:t>
            </w:r>
          </w:p>
        </w:tc>
        <w:tc>
          <w:tcPr>
            <w:tcW w:w="2131" w:type="dxa"/>
            <w:vAlign w:val="center"/>
          </w:tcPr>
          <w:p>
            <w:pPr>
              <w:pStyle w:val="108"/>
              <w:widowControl w:val="0"/>
              <w:ind w:firstLine="0" w:firstLineChars="0"/>
              <w:jc w:val="center"/>
              <w:rPr>
                <w:rFonts w:ascii="Times New Roman"/>
                <w:sz w:val="24"/>
                <w:szCs w:val="21"/>
              </w:rPr>
            </w:pPr>
            <w:r>
              <w:rPr>
                <w:rFonts w:hint="eastAsia" w:ascii="Times New Roman"/>
                <w:sz w:val="24"/>
                <w:szCs w:val="21"/>
              </w:rPr>
              <w:t>监管机构</w:t>
            </w:r>
          </w:p>
        </w:tc>
      </w:tr>
    </w:tbl>
    <w:p>
      <w:pPr>
        <w:spacing w:line="336" w:lineRule="auto"/>
        <w:rPr>
          <w:sz w:val="24"/>
          <w:szCs w:val="21"/>
        </w:rPr>
      </w:pPr>
    </w:p>
    <w:p>
      <w:pPr>
        <w:topLinePunct/>
        <w:spacing w:line="360" w:lineRule="auto"/>
        <w:ind w:firstLine="480" w:firstLineChars="200"/>
        <w:jc w:val="left"/>
        <w:rPr>
          <w:sz w:val="24"/>
        </w:rPr>
      </w:pPr>
      <w:r>
        <w:rPr>
          <w:sz w:val="24"/>
        </w:rPr>
        <w:t>评审组对以上所列生产和生产后信息获取方式的适宜性和有效性进行了评价，认为：该方法是适宜和有效的，项目风险管理负责人对得到的生产和生产后信息进行管理，必要时，风险管理小组开展活动实施动态风险管理。</w:t>
      </w:r>
    </w:p>
    <w:p>
      <w:pPr>
        <w:topLinePunct/>
        <w:spacing w:line="360" w:lineRule="auto"/>
        <w:ind w:firstLine="480" w:firstLineChars="200"/>
        <w:jc w:val="left"/>
        <w:rPr>
          <w:sz w:val="24"/>
        </w:rPr>
      </w:pPr>
    </w:p>
    <w:p>
      <w:pPr>
        <w:widowControl/>
        <w:jc w:val="left"/>
        <w:rPr>
          <w:b/>
          <w:sz w:val="24"/>
          <w:szCs w:val="21"/>
        </w:rPr>
      </w:pPr>
    </w:p>
    <w:sectPr>
      <w:headerReference r:id="rId7" w:type="default"/>
      <w:footerReference r:id="rId8" w:type="default"/>
      <w:pgSz w:w="11906" w:h="16838"/>
      <w:pgMar w:top="1440" w:right="1797" w:bottom="1440" w:left="1797" w:header="851" w:footer="992" w:gutter="0"/>
      <w:pgNumType w:fmt="decimal" w:start="1"/>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altName w:val="Kingsoft Confetti"/>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Kingsoft Confetti">
    <w:panose1 w:val="05000100010000000000"/>
    <w:charset w:val="00"/>
    <w:family w:val="auto"/>
    <w:pitch w:val="default"/>
    <w:sig w:usb0="00000000" w:usb1="00000000" w:usb2="00000000" w:usb3="00000000" w:csb0="8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00000000" w:usb2="00000000" w:usb3="00000000" w:csb0="80000000" w:csb1="00000000"/>
  </w:font>
  <w:font w:name="Arial">
    <w:panose1 w:val="020B0604020202020204"/>
    <w:charset w:val="00"/>
    <w:family w:val="auto"/>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楷体_GB2312">
    <w:altName w:val="汉仪楷体KW"/>
    <w:panose1 w:val="00000000000000000000"/>
    <w:charset w:val="86"/>
    <w:family w:val="modern"/>
    <w:pitch w:val="default"/>
    <w:sig w:usb0="00000000" w:usb1="00000000" w:usb2="00000000" w:usb3="00000000" w:csb0="00040000" w:csb1="00000000"/>
  </w:font>
  <w:font w:name="Cambria">
    <w:altName w:val="Georgia"/>
    <w:panose1 w:val="02040503050406030204"/>
    <w:charset w:val="00"/>
    <w:family w:val="roman"/>
    <w:pitch w:val="default"/>
    <w:sig w:usb0="00000000" w:usb1="00000000" w:usb2="02000000" w:usb3="00000000" w:csb0="0000019F" w:csb1="00000000"/>
  </w:font>
  <w:font w:name="楷体">
    <w:altName w:val="汉仪楷体KW"/>
    <w:panose1 w:val="02010609060101010101"/>
    <w:charset w:val="86"/>
    <w:family w:val="modern"/>
    <w:pitch w:val="default"/>
    <w:sig w:usb0="00000000" w:usb1="00000000" w:usb2="00000016" w:usb3="00000000" w:csb0="00040001" w:csb1="00000000"/>
  </w:font>
  <w:font w:name="汉仪楷体KW">
    <w:panose1 w:val="00020600040101010101"/>
    <w:charset w:val="86"/>
    <w:family w:val="auto"/>
    <w:pitch w:val="default"/>
    <w:sig w:usb0="A00002BF" w:usb1="18EF7CFA" w:usb2="00000016" w:usb3="00000000" w:csb0="00040000" w:csb1="00000000"/>
  </w:font>
  <w:font w:name="Georgia">
    <w:panose1 w:val="02040502050405020303"/>
    <w:charset w:val="00"/>
    <w:family w:val="auto"/>
    <w:pitch w:val="default"/>
    <w:sig w:usb0="00000287" w:usb1="00000000"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jc w:val="center"/>
    </w:pPr>
    <w:r>
      <w:rPr>
        <w:rFonts w:hint="eastAsia" w:ascii="宋体" w:hAnsi="宋体" w:cs="宋体"/>
        <w:sz w:val="24"/>
        <w:szCs w:val="24"/>
      </w:rPr>
      <w:fldChar w:fldCharType="begin"/>
    </w:r>
    <w:r>
      <w:rPr>
        <w:rFonts w:hint="eastAsia" w:ascii="宋体" w:hAnsi="宋体" w:cs="宋体"/>
        <w:sz w:val="24"/>
        <w:szCs w:val="24"/>
      </w:rPr>
      <w:instrText xml:space="preserve"> PAGE  \* MERGEFORMAT </w:instrText>
    </w:r>
    <w:r>
      <w:rPr>
        <w:rFonts w:hint="eastAsia" w:ascii="宋体" w:hAnsi="宋体" w:cs="宋体"/>
        <w:sz w:val="24"/>
        <w:szCs w:val="24"/>
      </w:rPr>
      <w:fldChar w:fldCharType="separate"/>
    </w:r>
    <w:r>
      <w:rPr>
        <w:rFonts w:hint="eastAsia" w:ascii="宋体" w:hAnsi="宋体" w:cs="宋体"/>
        <w:sz w:val="24"/>
        <w:szCs w:val="24"/>
      </w:rPr>
      <w:t>1</w:t>
    </w:r>
    <w:r>
      <w:rPr>
        <w:rFonts w:hint="eastAsia" w:ascii="宋体" w:hAnsi="宋体" w:cs="宋体"/>
        <w:sz w:val="24"/>
        <w:szCs w:val="24"/>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framePr w:wrap="around" w:vAnchor="text" w:hAnchor="margin" w:xAlign="center" w:y="1"/>
      <w:tabs>
        <w:tab w:val="right" w:pos="8640"/>
        <w:tab w:val="clear" w:pos="4153"/>
        <w:tab w:val="clear" w:pos="8306"/>
      </w:tabs>
      <w:rPr>
        <w:rStyle w:val="39"/>
      </w:rPr>
    </w:pPr>
    <w:r>
      <w:rPr>
        <w:rStyle w:val="39"/>
      </w:rPr>
      <w:fldChar w:fldCharType="begin"/>
    </w:r>
    <w:r>
      <w:rPr>
        <w:rStyle w:val="39"/>
      </w:rPr>
      <w:instrText xml:space="preserve">PAGE  </w:instrText>
    </w:r>
    <w:r>
      <w:rPr>
        <w:rStyle w:val="39"/>
      </w:rPr>
      <w:fldChar w:fldCharType="end"/>
    </w:r>
  </w:p>
  <w:p>
    <w:pPr>
      <w:pStyle w:val="25"/>
      <w:tabs>
        <w:tab w:val="right" w:pos="8640"/>
        <w:tab w:val="clear" w:pos="4153"/>
        <w:tab w:val="clear" w:pos="8306"/>
      </w:tabs>
      <w:ind w:right="360" w:firstLine="360"/>
      <w:jc w:val="center"/>
    </w:pPr>
    <w:r>
      <w:rPr>
        <w:rFonts w:hint="eastAsia"/>
        <w:kern w:val="0"/>
        <w:szCs w:val="21"/>
      </w:rPr>
      <w:t xml:space="preserve">第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15</w:t>
    </w:r>
    <w:r>
      <w:rPr>
        <w:kern w:val="0"/>
        <w:szCs w:val="21"/>
      </w:rPr>
      <w:fldChar w:fldCharType="end"/>
    </w:r>
    <w:r>
      <w:rPr>
        <w:rFonts w:hint="eastAsia"/>
        <w:kern w:val="0"/>
        <w:szCs w:val="21"/>
      </w:rPr>
      <w:t xml:space="preserve"> 页</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360"/>
    </w:pPr>
    <w:r>
      <mc:AlternateContent>
        <mc:Choice Requires="wps">
          <w:drawing>
            <wp:anchor distT="0" distB="0" distL="114300" distR="114300" simplePos="0" relativeHeight="251659264" behindDoc="0" locked="0" layoutInCell="1" allowOverlap="1">
              <wp:simplePos x="0" y="0"/>
              <wp:positionH relativeFrom="margin">
                <wp:align>left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ind w:right="360"/>
                            <w:rPr>
                              <w:rFonts w:hint="default"/>
                            </w:rPr>
                          </w:pPr>
                          <w:r>
                            <w:rPr>
                              <w:woUserID w:val="1"/>
                            </w:rPr>
                            <w:t xml:space="preserve">                                    </w:t>
                          </w:r>
                          <w:r>
                            <w:t xml:space="preserve">第 </w:t>
                          </w:r>
                          <w:r>
                            <w:fldChar w:fldCharType="begin"/>
                          </w:r>
                          <w:r>
                            <w:instrText xml:space="preserve"> PAGE  \* MERGEFORMAT </w:instrText>
                          </w:r>
                          <w:r>
                            <w:fldChar w:fldCharType="separate"/>
                          </w:r>
                          <w:r>
                            <w:t>2</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left;mso-position-horizontal-relative:margin;mso-wrap-style:none;z-index:251659264;mso-width-relative:page;mso-height-relative:page;" filled="f" stroked="f" coordsize="21600,21600" o:gfxdata="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">
              <v:fill on="f" focussize="0,0"/>
              <v:stroke on="f" weight="0.5pt"/>
              <v:imagedata o:title=""/>
              <o:lock v:ext="edit" aspectratio="f"/>
              <v:textbox inset="0mm,0mm,0mm,0mm" style="mso-fit-shape-to-text:t;">
                <w:txbxContent>
                  <w:p>
                    <w:pPr>
                      <w:ind w:right="360"/>
                      <w:rPr>
                        <w:rFonts w:hint="default"/>
                      </w:rPr>
                    </w:pPr>
                    <w:r>
                      <w:rPr>
                        <w:woUserID w:val="1"/>
                      </w:rPr>
                      <w:t xml:space="preserve">                                    </w:t>
                    </w:r>
                    <w:r>
                      <w:t xml:space="preserve">第 </w:t>
                    </w:r>
                    <w:r>
                      <w:fldChar w:fldCharType="begin"/>
                    </w:r>
                    <w:r>
                      <w:instrText xml:space="preserve"> PAGE  \* MERGEFORMAT </w:instrText>
                    </w:r>
                    <w:r>
                      <w:fldChar w:fldCharType="separate"/>
                    </w:r>
                    <w:r>
                      <w:t>2</w:t>
                    </w:r>
                    <w:r>
                      <w:fldChar w:fldCharType="end"/>
                    </w:r>
                    <w:r>
                      <w:t xml:space="preserve"> 页</w:t>
                    </w:r>
                  </w:p>
                </w:txbxContent>
              </v:textbox>
            </v:shape>
          </w:pict>
        </mc:Fallback>
      </mc:AlternateContent>
    </w:r>
  </w:p>
  <w:p>
    <w:pPr>
      <w:pStyle w:val="2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spacing w:line="360" w:lineRule="auto"/>
      <w:jc w:val="center"/>
      <w:rPr>
        <w:rFonts w:hint="eastAsia" w:ascii="宋体" w:hAnsi="宋体"/>
        <w:b/>
        <w:bCs/>
        <w:sz w:val="28"/>
        <w:szCs w:val="28"/>
      </w:rPr>
    </w:pPr>
    <w:r>
      <w:rPr>
        <w:rFonts w:hint="eastAsia" w:ascii="宋体" w:hAnsi="宋体"/>
        <w:b/>
        <w:bCs/>
        <w:sz w:val="28"/>
        <w:szCs w:val="28"/>
      </w:rPr>
      <w:t>风险管理报告</w:t>
    </w:r>
  </w:p>
  <w:p>
    <w:pPr>
      <w:snapToGrid w:val="0"/>
      <w:spacing w:line="360" w:lineRule="auto"/>
      <w:jc w:val="center"/>
      <w:rPr>
        <w:rFonts w:hint="eastAsia" w:ascii="宋体" w:hAnsi="宋体"/>
        <w:sz w:val="24"/>
      </w:rPr>
    </w:pPr>
    <w:r>
      <w:rPr>
        <w:rFonts w:hint="eastAsia" w:ascii="宋体" w:hAnsi="宋体" w:cs="楷体"/>
        <w:sz w:val="24"/>
      </w:rPr>
      <w:t>文件编号：</w:t>
    </w:r>
    <w:r>
      <w:rPr>
        <w:rFonts w:ascii="宋体" w:hAnsi="宋体" w:cs="楷体"/>
        <w:sz w:val="24"/>
        <w:szCs w:val="28"/>
      </w:rPr>
      <w:t>QP-00</w:t>
    </w:r>
    <w:r>
      <w:rPr>
        <w:rFonts w:hint="eastAsia" w:ascii="宋体" w:hAnsi="宋体" w:cs="楷体"/>
        <w:sz w:val="24"/>
        <w:szCs w:val="28"/>
      </w:rPr>
      <w:t>7</w:t>
    </w:r>
    <w:r>
      <w:rPr>
        <w:rFonts w:ascii="宋体" w:hAnsi="宋体" w:cs="楷体"/>
        <w:sz w:val="24"/>
        <w:szCs w:val="28"/>
      </w:rPr>
      <w:t>-0</w:t>
    </w:r>
    <w:r>
      <w:rPr>
        <w:rFonts w:hint="eastAsia" w:ascii="宋体" w:hAnsi="宋体" w:cs="楷体"/>
        <w:sz w:val="24"/>
        <w:szCs w:val="28"/>
      </w:rPr>
      <w:t>1</w:t>
    </w:r>
    <w:r>
      <w:rPr>
        <w:rFonts w:ascii="宋体" w:hAnsi="宋体"/>
        <w:sz w:val="24"/>
      </w:rPr>
      <w:t xml:space="preserve">          </w:t>
    </w:r>
    <w:r>
      <w:rPr>
        <w:rFonts w:hint="eastAsia" w:ascii="宋体" w:hAnsi="宋体"/>
        <w:sz w:val="24"/>
      </w:rPr>
      <w:t>版本号：A</w:t>
    </w:r>
    <w:r>
      <w:rPr>
        <w:rFonts w:ascii="宋体" w:hAnsi="宋体"/>
        <w:sz w:val="24"/>
      </w:rPr>
      <w:t xml:space="preserve">          </w:t>
    </w:r>
    <w:r>
      <w:rPr>
        <w:rFonts w:hint="eastAsia" w:ascii="宋体" w:hAnsi="宋体"/>
        <w:sz w:val="24"/>
      </w:rPr>
      <w:t>修订次数：第0次</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pBdr>
        <w:bottom w:val="single" w:color="auto" w:sz="4" w:space="1"/>
      </w:pBdr>
      <w:jc w:val="both"/>
    </w:pPr>
    <w:r>
      <w:fldChar w:fldCharType="begin"/>
    </w:r>
    <w:r>
      <w:instrText xml:space="preserve"> </w:instrText>
    </w:r>
    <w:r>
      <w:rPr>
        <w:rFonts w:hint="eastAsia"/>
      </w:rPr>
      <w:instrText xml:space="preserve">DOCPROPERTY "文件编号"  \* MERGEFORMAT</w:instrText>
    </w:r>
    <w:r>
      <w:instrText xml:space="preserve"> </w:instrText>
    </w:r>
    <w:r>
      <w:fldChar w:fldCharType="separate"/>
    </w:r>
    <w:r>
      <w:rPr>
        <w:rFonts w:hint="eastAsia"/>
        <w:b/>
        <w:bCs/>
      </w:rPr>
      <w:t>错误！未知的文档属性名称</w:t>
    </w:r>
    <w:r>
      <w:fldChar w:fldCharType="end"/>
    </w:r>
    <w:r>
      <w:rPr>
        <w:rFonts w:hint="eastAsia"/>
      </w:rPr>
      <w:t>（</w:t>
    </w:r>
    <w:r>
      <w:fldChar w:fldCharType="begin"/>
    </w:r>
    <w:r>
      <w:instrText xml:space="preserve"> </w:instrText>
    </w:r>
    <w:r>
      <w:rPr>
        <w:rFonts w:hint="eastAsia"/>
      </w:rPr>
      <w:instrText xml:space="preserve">DOCPROPERTY "版本"  \* MERGEFORMAT</w:instrText>
    </w:r>
    <w:r>
      <w:instrText xml:space="preserve"> </w:instrText>
    </w:r>
    <w:r>
      <w:fldChar w:fldCharType="separate"/>
    </w:r>
    <w:r>
      <w:rPr>
        <w:rFonts w:hint="eastAsia"/>
        <w:b/>
        <w:bCs/>
      </w:rPr>
      <w:t>错误！未知的文档属性名称</w:t>
    </w:r>
    <w:r>
      <w:fldChar w:fldCharType="end"/>
    </w:r>
    <w:r>
      <w:rPr>
        <w:rFonts w:hint="eastAsia"/>
      </w:rPr>
      <w:t>）</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sz w:val="24"/>
      </w:rPr>
    </w:pPr>
    <w:r>
      <w:rPr>
        <w:rFonts w:hint="eastAsia" w:ascii="宋体" w:hAnsi="宋体" w:cs="宋体"/>
        <w:sz w:val="24"/>
      </w:rPr>
      <w:t>文件编号：JS-JL-038             版本号：A            修订次数：第1次</w:t>
    </w:r>
  </w:p>
  <w:p>
    <w:pPr>
      <w:widowControl/>
      <w:tabs>
        <w:tab w:val="center" w:pos="4819"/>
      </w:tabs>
      <w:rPr>
        <w:rFonts w:hint="eastAsia" w:ascii="宋体" w:hAnsi="宋体"/>
        <w:b/>
        <w:color w:val="000000"/>
        <w:spacing w:val="-14"/>
        <w:sz w:val="10"/>
        <w:szCs w:val="1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F402638"/>
    <w:multiLevelType w:val="singleLevel"/>
    <w:tmpl w:val="EF402638"/>
    <w:lvl w:ilvl="0" w:tentative="0">
      <w:start w:val="3"/>
      <w:numFmt w:val="decimal"/>
      <w:suff w:val="nothing"/>
      <w:lvlText w:val="%1）"/>
      <w:lvlJc w:val="left"/>
    </w:lvl>
  </w:abstractNum>
  <w:abstractNum w:abstractNumId="1">
    <w:nsid w:val="FFFFFF83"/>
    <w:multiLevelType w:val="singleLevel"/>
    <w:tmpl w:val="FFFFFF83"/>
    <w:lvl w:ilvl="0" w:tentative="0">
      <w:start w:val="1"/>
      <w:numFmt w:val="bullet"/>
      <w:pStyle w:val="48"/>
      <w:lvlText w:val=""/>
      <w:lvlJc w:val="left"/>
      <w:pPr>
        <w:tabs>
          <w:tab w:val="left" w:pos="780"/>
        </w:tabs>
        <w:ind w:left="780" w:leftChars="200" w:hanging="360" w:hangingChars="200"/>
      </w:pPr>
      <w:rPr>
        <w:rFonts w:hint="default" w:ascii="Wingdings" w:hAnsi="Wingdings"/>
      </w:rPr>
    </w:lvl>
  </w:abstractNum>
  <w:abstractNum w:abstractNumId="2">
    <w:nsid w:val="07EB036A"/>
    <w:multiLevelType w:val="multilevel"/>
    <w:tmpl w:val="07EB036A"/>
    <w:lvl w:ilvl="0" w:tentative="0">
      <w:start w:val="1"/>
      <w:numFmt w:val="bullet"/>
      <w:pStyle w:val="69"/>
      <w:lvlText w:val=""/>
      <w:lvlJc w:val="left"/>
      <w:pPr>
        <w:tabs>
          <w:tab w:val="left" w:pos="420"/>
        </w:tabs>
        <w:ind w:left="420" w:hanging="420"/>
      </w:pPr>
      <w:rPr>
        <w:rFonts w:hint="default" w:ascii="Wingdings" w:hAnsi="Wingdings"/>
      </w:rPr>
    </w:lvl>
    <w:lvl w:ilvl="1" w:tentative="0">
      <w:start w:val="1"/>
      <w:numFmt w:val="decimal"/>
      <w:lvlText w:val="%2."/>
      <w:lvlJc w:val="left"/>
      <w:pPr>
        <w:tabs>
          <w:tab w:val="left" w:pos="834"/>
        </w:tabs>
        <w:ind w:left="777" w:hanging="357"/>
      </w:pPr>
      <w:rPr>
        <w:rFonts w:hint="default" w:ascii="Times New Roman" w:hAnsi="Times New Roman" w:cs="Times New Roman"/>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3">
    <w:nsid w:val="19145BC0"/>
    <w:multiLevelType w:val="multilevel"/>
    <w:tmpl w:val="19145BC0"/>
    <w:lvl w:ilvl="0" w:tentative="0">
      <w:start w:val="1"/>
      <w:numFmt w:val="lowerRoman"/>
      <w:lvlText w:val="%1."/>
      <w:lvlJc w:val="right"/>
      <w:pPr>
        <w:tabs>
          <w:tab w:val="left" w:pos="567"/>
        </w:tabs>
        <w:ind w:left="0" w:firstLine="0"/>
      </w:pPr>
      <w:rPr>
        <w:rFonts w:hint="eastAsia"/>
      </w:rPr>
    </w:lvl>
    <w:lvl w:ilvl="1" w:tentative="0">
      <w:start w:val="1"/>
      <w:numFmt w:val="decimal"/>
      <w:pStyle w:val="104"/>
      <w:lvlText w:val="%1.%2"/>
      <w:lvlJc w:val="left"/>
      <w:pPr>
        <w:tabs>
          <w:tab w:val="left" w:pos="720"/>
        </w:tabs>
        <w:ind w:left="0" w:firstLine="0"/>
      </w:pPr>
      <w:rPr>
        <w:rFonts w:hint="eastAsia"/>
      </w:rPr>
    </w:lvl>
    <w:lvl w:ilvl="2" w:tentative="0">
      <w:start w:val="1"/>
      <w:numFmt w:val="decimal"/>
      <w:pStyle w:val="105"/>
      <w:lvlText w:val="%1.%2.%3"/>
      <w:lvlJc w:val="left"/>
      <w:pPr>
        <w:tabs>
          <w:tab w:val="left" w:pos="720"/>
        </w:tabs>
        <w:ind w:left="0" w:firstLine="0"/>
      </w:pPr>
      <w:rPr>
        <w:rFonts w:hint="eastAsia"/>
      </w:rPr>
    </w:lvl>
    <w:lvl w:ilvl="3" w:tentative="0">
      <w:start w:val="1"/>
      <w:numFmt w:val="decimal"/>
      <w:pStyle w:val="106"/>
      <w:lvlText w:val="%1.%2.%3.%4"/>
      <w:lvlJc w:val="left"/>
      <w:pPr>
        <w:tabs>
          <w:tab w:val="left" w:pos="1080"/>
        </w:tabs>
        <w:ind w:left="0" w:firstLine="0"/>
      </w:pPr>
      <w:rPr>
        <w:rFonts w:hint="eastAsia"/>
      </w:rPr>
    </w:lvl>
    <w:lvl w:ilvl="4" w:tentative="0">
      <w:start w:val="1"/>
      <w:numFmt w:val="none"/>
      <w:lvlText w:val=""/>
      <w:lvlJc w:val="left"/>
      <w:pPr>
        <w:tabs>
          <w:tab w:val="left" w:pos="360"/>
        </w:tabs>
        <w:ind w:left="0" w:firstLine="0"/>
      </w:pPr>
      <w:rPr>
        <w:rFonts w:hint="eastAsia"/>
      </w:rPr>
    </w:lvl>
    <w:lvl w:ilvl="5" w:tentative="0">
      <w:start w:val="1"/>
      <w:numFmt w:val="none"/>
      <w:lvlText w:val=""/>
      <w:lvlJc w:val="left"/>
      <w:pPr>
        <w:tabs>
          <w:tab w:val="left" w:pos="360"/>
        </w:tabs>
        <w:ind w:left="0" w:firstLine="0"/>
      </w:pPr>
      <w:rPr>
        <w:rFonts w:hint="eastAsia"/>
      </w:rPr>
    </w:lvl>
    <w:lvl w:ilvl="6" w:tentative="0">
      <w:start w:val="1"/>
      <w:numFmt w:val="none"/>
      <w:lvlText w:val=""/>
      <w:lvlJc w:val="left"/>
      <w:pPr>
        <w:tabs>
          <w:tab w:val="left" w:pos="360"/>
        </w:tabs>
        <w:ind w:left="0" w:firstLine="0"/>
      </w:pPr>
      <w:rPr>
        <w:rFonts w:hint="eastAsia"/>
      </w:rPr>
    </w:lvl>
    <w:lvl w:ilvl="7" w:tentative="0">
      <w:start w:val="1"/>
      <w:numFmt w:val="none"/>
      <w:lvlText w:val=""/>
      <w:lvlJc w:val="left"/>
      <w:pPr>
        <w:tabs>
          <w:tab w:val="left" w:pos="360"/>
        </w:tabs>
        <w:ind w:left="0" w:firstLine="0"/>
      </w:pPr>
      <w:rPr>
        <w:rFonts w:hint="eastAsia"/>
      </w:rPr>
    </w:lvl>
    <w:lvl w:ilvl="8" w:tentative="0">
      <w:start w:val="1"/>
      <w:numFmt w:val="none"/>
      <w:lvlText w:val=""/>
      <w:lvlJc w:val="left"/>
      <w:pPr>
        <w:tabs>
          <w:tab w:val="left" w:pos="360"/>
        </w:tabs>
        <w:ind w:left="0" w:firstLine="0"/>
      </w:pPr>
      <w:rPr>
        <w:rFonts w:hint="eastAsia"/>
      </w:rPr>
    </w:lvl>
  </w:abstractNum>
  <w:abstractNum w:abstractNumId="4">
    <w:nsid w:val="371B4BBA"/>
    <w:multiLevelType w:val="multilevel"/>
    <w:tmpl w:val="371B4BBA"/>
    <w:lvl w:ilvl="0" w:tentative="0">
      <w:start w:val="1"/>
      <w:numFmt w:val="decimal"/>
      <w:lvlText w:val="%1."/>
      <w:lvlJc w:val="left"/>
      <w:pPr>
        <w:ind w:left="425" w:hanging="425"/>
      </w:pPr>
    </w:lvl>
    <w:lvl w:ilvl="1" w:tentative="0">
      <w:start w:val="1"/>
      <w:numFmt w:val="decimal"/>
      <w:lvlText w:val="%1.%2."/>
      <w:lvlJc w:val="left"/>
      <w:pPr>
        <w:ind w:left="567" w:hanging="567"/>
      </w:pPr>
    </w:lvl>
    <w:lvl w:ilvl="2" w:tentative="0">
      <w:start w:val="1"/>
      <w:numFmt w:val="decimal"/>
      <w:lvlText w:val="%1.%2.%3."/>
      <w:lvlJc w:val="left"/>
      <w:pPr>
        <w:ind w:left="709" w:hanging="709"/>
      </w:pPr>
    </w:lvl>
    <w:lvl w:ilvl="3" w:tentative="0">
      <w:start w:val="1"/>
      <w:numFmt w:val="decimal"/>
      <w:lvlText w:val="%1.%2.%3.%4."/>
      <w:lvlJc w:val="left"/>
      <w:pPr>
        <w:ind w:left="851" w:hanging="851"/>
      </w:pPr>
    </w:lvl>
    <w:lvl w:ilvl="4" w:tentative="0">
      <w:start w:val="1"/>
      <w:numFmt w:val="decimal"/>
      <w:lvlText w:val="%1.%2.%3.%4.%5."/>
      <w:lvlJc w:val="left"/>
      <w:pPr>
        <w:ind w:left="992" w:hanging="992"/>
      </w:pPr>
    </w:lvl>
    <w:lvl w:ilvl="5" w:tentative="0">
      <w:start w:val="1"/>
      <w:numFmt w:val="decimal"/>
      <w:lvlText w:val="%1.%2.%3.%4.%5.%6."/>
      <w:lvlJc w:val="left"/>
      <w:pPr>
        <w:ind w:left="1134" w:hanging="1134"/>
      </w:pPr>
    </w:lvl>
    <w:lvl w:ilvl="6" w:tentative="0">
      <w:start w:val="1"/>
      <w:numFmt w:val="decimal"/>
      <w:lvlText w:val="%1.%2.%3.%4.%5.%6.%7."/>
      <w:lvlJc w:val="left"/>
      <w:pPr>
        <w:ind w:left="1276" w:hanging="1276"/>
      </w:pPr>
    </w:lvl>
    <w:lvl w:ilvl="7" w:tentative="0">
      <w:start w:val="1"/>
      <w:numFmt w:val="decimal"/>
      <w:lvlText w:val="%1.%2.%3.%4.%5.%6.%7.%8."/>
      <w:lvlJc w:val="left"/>
      <w:pPr>
        <w:ind w:left="1418" w:hanging="1418"/>
      </w:pPr>
    </w:lvl>
    <w:lvl w:ilvl="8" w:tentative="0">
      <w:start w:val="1"/>
      <w:numFmt w:val="decimal"/>
      <w:lvlText w:val="%1.%2.%3.%4.%5.%6.%7.%8.%9."/>
      <w:lvlJc w:val="left"/>
      <w:pPr>
        <w:ind w:left="1559" w:hanging="1559"/>
      </w:pPr>
    </w:lvl>
  </w:abstractNum>
  <w:abstractNum w:abstractNumId="5">
    <w:nsid w:val="568C10CF"/>
    <w:multiLevelType w:val="multilevel"/>
    <w:tmpl w:val="568C10CF"/>
    <w:lvl w:ilvl="0" w:tentative="0">
      <w:start w:val="1"/>
      <w:numFmt w:val="decimal"/>
      <w:lvlText w:val="%1."/>
      <w:lvlJc w:val="left"/>
      <w:pPr>
        <w:ind w:left="425" w:hanging="425"/>
      </w:pPr>
      <w:rPr>
        <w:rFonts w:hint="eastAsia"/>
      </w:rPr>
    </w:lvl>
    <w:lvl w:ilvl="1" w:tentative="0">
      <w:start w:val="1"/>
      <w:numFmt w:val="decimal"/>
      <w:lvlText w:val="%1.%2."/>
      <w:lvlJc w:val="left"/>
      <w:pPr>
        <w:ind w:left="567" w:hanging="567"/>
      </w:pPr>
      <w:rPr>
        <w:rFonts w:hint="eastAsia"/>
      </w:rPr>
    </w:lvl>
    <w:lvl w:ilvl="2" w:tentative="0">
      <w:start w:val="1"/>
      <w:numFmt w:val="decimal"/>
      <w:lvlText w:val="%1.%2.%3."/>
      <w:lvlJc w:val="left"/>
      <w:pPr>
        <w:ind w:left="709" w:hanging="709"/>
      </w:pPr>
      <w:rPr>
        <w:rFonts w:hint="eastAsia"/>
      </w:rPr>
    </w:lvl>
    <w:lvl w:ilvl="3" w:tentative="0">
      <w:start w:val="1"/>
      <w:numFmt w:val="decimal"/>
      <w:suff w:val="space"/>
      <w:lvlText w:val="%1.%2.%3.%4."/>
      <w:lvlJc w:val="left"/>
      <w:pPr>
        <w:ind w:left="851" w:hanging="851"/>
      </w:pPr>
      <w:rPr>
        <w:rFonts w:hint="eastAsia" w:ascii="宋体" w:hAnsi="宋体" w:eastAsia="宋体"/>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6">
    <w:nsid w:val="764A4C74"/>
    <w:multiLevelType w:val="multilevel"/>
    <w:tmpl w:val="764A4C74"/>
    <w:lvl w:ilvl="0" w:tentative="0">
      <w:start w:val="1"/>
      <w:numFmt w:val="decimal"/>
      <w:lvlText w:val="%1."/>
      <w:lvlJc w:val="left"/>
      <w:pPr>
        <w:ind w:left="425" w:hanging="425"/>
      </w:pPr>
    </w:lvl>
    <w:lvl w:ilvl="1" w:tentative="0">
      <w:start w:val="1"/>
      <w:numFmt w:val="decimal"/>
      <w:lvlText w:val="%1.%2."/>
      <w:lvlJc w:val="left"/>
      <w:pPr>
        <w:ind w:left="567" w:hanging="567"/>
      </w:pPr>
    </w:lvl>
    <w:lvl w:ilvl="2" w:tentative="0">
      <w:start w:val="1"/>
      <w:numFmt w:val="decimal"/>
      <w:lvlText w:val="%1.%2.%3."/>
      <w:lvlJc w:val="left"/>
      <w:pPr>
        <w:ind w:left="709" w:hanging="709"/>
      </w:pPr>
    </w:lvl>
    <w:lvl w:ilvl="3" w:tentative="0">
      <w:start w:val="1"/>
      <w:numFmt w:val="decimal"/>
      <w:lvlText w:val="%1.%2.%3.%4."/>
      <w:lvlJc w:val="left"/>
      <w:pPr>
        <w:ind w:left="851" w:hanging="851"/>
      </w:pPr>
    </w:lvl>
    <w:lvl w:ilvl="4" w:tentative="0">
      <w:start w:val="1"/>
      <w:numFmt w:val="decimal"/>
      <w:lvlText w:val="%1.%2.%3.%4.%5."/>
      <w:lvlJc w:val="left"/>
      <w:pPr>
        <w:ind w:left="992" w:hanging="992"/>
      </w:pPr>
    </w:lvl>
    <w:lvl w:ilvl="5" w:tentative="0">
      <w:start w:val="1"/>
      <w:numFmt w:val="decimal"/>
      <w:lvlText w:val="%1.%2.%3.%4.%5.%6."/>
      <w:lvlJc w:val="left"/>
      <w:pPr>
        <w:ind w:left="1134" w:hanging="1134"/>
      </w:pPr>
    </w:lvl>
    <w:lvl w:ilvl="6" w:tentative="0">
      <w:start w:val="1"/>
      <w:numFmt w:val="decimal"/>
      <w:lvlText w:val="%1.%2.%3.%4.%5.%6.%7."/>
      <w:lvlJc w:val="left"/>
      <w:pPr>
        <w:ind w:left="1276" w:hanging="1276"/>
      </w:pPr>
    </w:lvl>
    <w:lvl w:ilvl="7" w:tentative="0">
      <w:start w:val="1"/>
      <w:numFmt w:val="decimal"/>
      <w:lvlText w:val="%1.%2.%3.%4.%5.%6.%7.%8."/>
      <w:lvlJc w:val="left"/>
      <w:pPr>
        <w:ind w:left="1418" w:hanging="1418"/>
      </w:pPr>
    </w:lvl>
    <w:lvl w:ilvl="8" w:tentative="0">
      <w:start w:val="1"/>
      <w:numFmt w:val="decimal"/>
      <w:lvlText w:val="%1.%2.%3.%4.%5.%6.%7.%8.%9."/>
      <w:lvlJc w:val="left"/>
      <w:pPr>
        <w:ind w:left="1559" w:hanging="1559"/>
      </w:pPr>
    </w:lvl>
  </w:abstractNum>
  <w:abstractNum w:abstractNumId="7">
    <w:nsid w:val="7AFD014C"/>
    <w:multiLevelType w:val="multilevel"/>
    <w:tmpl w:val="7AFD014C"/>
    <w:lvl w:ilvl="0" w:tentative="0">
      <w:start w:val="1"/>
      <w:numFmt w:val="decimal"/>
      <w:lvlText w:val="%1."/>
      <w:lvlJc w:val="left"/>
      <w:pPr>
        <w:ind w:left="425" w:hanging="425"/>
      </w:pPr>
    </w:lvl>
    <w:lvl w:ilvl="1" w:tentative="0">
      <w:start w:val="1"/>
      <w:numFmt w:val="decimal"/>
      <w:lvlText w:val="%1.%2."/>
      <w:lvlJc w:val="left"/>
      <w:pPr>
        <w:ind w:left="567" w:hanging="567"/>
      </w:pPr>
    </w:lvl>
    <w:lvl w:ilvl="2" w:tentative="0">
      <w:start w:val="1"/>
      <w:numFmt w:val="decimal"/>
      <w:lvlText w:val="%1.%2.%3."/>
      <w:lvlJc w:val="left"/>
      <w:pPr>
        <w:ind w:left="709" w:hanging="709"/>
      </w:pPr>
    </w:lvl>
    <w:lvl w:ilvl="3" w:tentative="0">
      <w:start w:val="1"/>
      <w:numFmt w:val="decimal"/>
      <w:lvlText w:val="%1.%2.%3.%4."/>
      <w:lvlJc w:val="left"/>
      <w:pPr>
        <w:ind w:left="851" w:hanging="851"/>
      </w:pPr>
    </w:lvl>
    <w:lvl w:ilvl="4" w:tentative="0">
      <w:start w:val="1"/>
      <w:numFmt w:val="decimal"/>
      <w:lvlText w:val="%1.%2.%3.%4.%5."/>
      <w:lvlJc w:val="left"/>
      <w:pPr>
        <w:ind w:left="992" w:hanging="992"/>
      </w:pPr>
    </w:lvl>
    <w:lvl w:ilvl="5" w:tentative="0">
      <w:start w:val="1"/>
      <w:numFmt w:val="decimal"/>
      <w:lvlText w:val="%1.%2.%3.%4.%5.%6."/>
      <w:lvlJc w:val="left"/>
      <w:pPr>
        <w:ind w:left="1134" w:hanging="1134"/>
      </w:pPr>
    </w:lvl>
    <w:lvl w:ilvl="6" w:tentative="0">
      <w:start w:val="1"/>
      <w:numFmt w:val="decimal"/>
      <w:lvlText w:val="%1.%2.%3.%4.%5.%6.%7."/>
      <w:lvlJc w:val="left"/>
      <w:pPr>
        <w:ind w:left="1276" w:hanging="1276"/>
      </w:pPr>
    </w:lvl>
    <w:lvl w:ilvl="7" w:tentative="0">
      <w:start w:val="1"/>
      <w:numFmt w:val="decimal"/>
      <w:lvlText w:val="%1.%2.%3.%4.%5.%6.%7.%8."/>
      <w:lvlJc w:val="left"/>
      <w:pPr>
        <w:ind w:left="1418" w:hanging="1418"/>
      </w:pPr>
    </w:lvl>
    <w:lvl w:ilvl="8" w:tentative="0">
      <w:start w:val="1"/>
      <w:numFmt w:val="decimal"/>
      <w:lvlText w:val="%1.%2.%3.%4.%5.%6.%7.%8.%9."/>
      <w:lvlJc w:val="left"/>
      <w:pPr>
        <w:ind w:left="1559" w:hanging="1559"/>
      </w:pPr>
    </w:lvl>
  </w:abstractNum>
  <w:abstractNum w:abstractNumId="8">
    <w:nsid w:val="7F7D28D0"/>
    <w:multiLevelType w:val="multilevel"/>
    <w:tmpl w:val="7F7D28D0"/>
    <w:lvl w:ilvl="0" w:tentative="0">
      <w:start w:val="1"/>
      <w:numFmt w:val="decimal"/>
      <w:pStyle w:val="2"/>
      <w:lvlText w:val="%1"/>
      <w:lvlJc w:val="left"/>
      <w:pPr>
        <w:tabs>
          <w:tab w:val="left" w:pos="432"/>
        </w:tabs>
        <w:ind w:left="432" w:hanging="432"/>
      </w:pPr>
      <w:rPr>
        <w:rFonts w:hint="eastAsia"/>
      </w:rPr>
    </w:lvl>
    <w:lvl w:ilvl="1" w:tentative="0">
      <w:start w:val="1"/>
      <w:numFmt w:val="decimal"/>
      <w:pStyle w:val="3"/>
      <w:lvlText w:val="A%2"/>
      <w:lvlJc w:val="left"/>
      <w:pPr>
        <w:tabs>
          <w:tab w:val="left" w:pos="576"/>
        </w:tabs>
        <w:ind w:left="576" w:hanging="576"/>
      </w:pPr>
      <w:rPr>
        <w:rFonts w:hint="default" w:ascii="Times New Roman" w:hAnsi="Times New Roman" w:eastAsia="宋体" w:cs="Times New Roman"/>
        <w:b/>
        <w:sz w:val="28"/>
        <w:szCs w:val="28"/>
      </w:rPr>
    </w:lvl>
    <w:lvl w:ilvl="2" w:tentative="0">
      <w:start w:val="1"/>
      <w:numFmt w:val="decimal"/>
      <w:pStyle w:val="4"/>
      <w:lvlText w:val="A%2.%3"/>
      <w:lvlJc w:val="left"/>
      <w:pPr>
        <w:tabs>
          <w:tab w:val="left" w:pos="720"/>
        </w:tabs>
        <w:ind w:left="720" w:hanging="720"/>
      </w:pPr>
      <w:rPr>
        <w:rFonts w:hint="default" w:ascii="Times New Roman" w:hAnsi="Times New Roman" w:cs="Times New Roman"/>
      </w:rPr>
    </w:lvl>
    <w:lvl w:ilvl="3" w:tentative="0">
      <w:start w:val="1"/>
      <w:numFmt w:val="decimal"/>
      <w:pStyle w:val="5"/>
      <w:lvlText w:val="B4.1.%4"/>
      <w:lvlJc w:val="left"/>
      <w:pPr>
        <w:tabs>
          <w:tab w:val="left" w:pos="864"/>
        </w:tabs>
        <w:ind w:left="864" w:hanging="864"/>
      </w:pPr>
      <w:rPr>
        <w:rFonts w:hint="default" w:ascii="Times New Roman" w:hAnsi="Times New Roman"/>
        <w:sz w:val="24"/>
      </w:rPr>
    </w:lvl>
    <w:lvl w:ilvl="4" w:tentative="0">
      <w:start w:val="1"/>
      <w:numFmt w:val="decimal"/>
      <w:pStyle w:val="6"/>
      <w:lvlText w:val="%1.%2.%3.%4.%5"/>
      <w:lvlJc w:val="left"/>
      <w:pPr>
        <w:tabs>
          <w:tab w:val="left" w:pos="1008"/>
        </w:tabs>
        <w:ind w:left="1008" w:hanging="1008"/>
      </w:pPr>
      <w:rPr>
        <w:rFonts w:hint="eastAsia"/>
      </w:rPr>
    </w:lvl>
    <w:lvl w:ilvl="5" w:tentative="0">
      <w:start w:val="1"/>
      <w:numFmt w:val="decimal"/>
      <w:pStyle w:val="7"/>
      <w:lvlText w:val="%1.%2.%3.%4.%5.%6"/>
      <w:lvlJc w:val="left"/>
      <w:pPr>
        <w:tabs>
          <w:tab w:val="left" w:pos="1152"/>
        </w:tabs>
        <w:ind w:left="1152" w:hanging="1152"/>
      </w:pPr>
      <w:rPr>
        <w:rFonts w:hint="eastAsia"/>
      </w:rPr>
    </w:lvl>
    <w:lvl w:ilvl="6" w:tentative="0">
      <w:start w:val="1"/>
      <w:numFmt w:val="decimal"/>
      <w:pStyle w:val="8"/>
      <w:lvlText w:val="%1.%2.%3.%4.%5.%6.%7"/>
      <w:lvlJc w:val="left"/>
      <w:pPr>
        <w:tabs>
          <w:tab w:val="left" w:pos="1296"/>
        </w:tabs>
        <w:ind w:left="1296" w:hanging="1296"/>
      </w:pPr>
      <w:rPr>
        <w:rFonts w:hint="eastAsia"/>
      </w:rPr>
    </w:lvl>
    <w:lvl w:ilvl="7" w:tentative="0">
      <w:start w:val="1"/>
      <w:numFmt w:val="decimal"/>
      <w:pStyle w:val="9"/>
      <w:lvlText w:val="%1.%2.%3.%4.%5.%6.%7.%8"/>
      <w:lvlJc w:val="left"/>
      <w:pPr>
        <w:tabs>
          <w:tab w:val="left" w:pos="1440"/>
        </w:tabs>
        <w:ind w:left="1440" w:hanging="1440"/>
      </w:pPr>
      <w:rPr>
        <w:rFonts w:hint="eastAsia"/>
      </w:rPr>
    </w:lvl>
    <w:lvl w:ilvl="8" w:tentative="0">
      <w:start w:val="1"/>
      <w:numFmt w:val="decimal"/>
      <w:pStyle w:val="10"/>
      <w:lvlText w:val="%1.%2.%3.%4.%5.%6.%7.%8.%9"/>
      <w:lvlJc w:val="left"/>
      <w:pPr>
        <w:tabs>
          <w:tab w:val="left" w:pos="1584"/>
        </w:tabs>
        <w:ind w:left="1584" w:hanging="1584"/>
      </w:pPr>
      <w:rPr>
        <w:rFonts w:hint="eastAsia"/>
      </w:rPr>
    </w:lvl>
  </w:abstractNum>
  <w:num w:numId="1">
    <w:abstractNumId w:val="8"/>
  </w:num>
  <w:num w:numId="2">
    <w:abstractNumId w:val="1"/>
  </w:num>
  <w:num w:numId="3">
    <w:abstractNumId w:val="2"/>
  </w:num>
  <w:num w:numId="4">
    <w:abstractNumId w:val="3"/>
  </w:num>
  <w:num w:numId="5">
    <w:abstractNumId w:val="7"/>
  </w:num>
  <w:num w:numId="6">
    <w:abstractNumId w:val="6"/>
  </w:num>
  <w:num w:numId="7">
    <w:abstractNumId w:val="4"/>
  </w:num>
  <w:num w:numId="8">
    <w:abstractNumId w:val="0"/>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hideSpellingErrors/>
  <w:documentProtection w:enforcement="0"/>
  <w:defaultTabStop w:val="420"/>
  <w:drawingGridHorizontalSpacing w:val="105"/>
  <w:drawingGridVerticalSpacing w:val="156"/>
  <w:displayHorizontalDrawingGridEvery w:val="0"/>
  <w:displayVerticalDrawingGridEvery w:val="2"/>
  <w:characterSpacingControl w:val="compressPunctuation"/>
  <w:footnotePr>
    <w:numRestart w:val="eachPage"/>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gwMDBhMDJiNDE3ZTdmOGFhMDYxNmVjY2RhOTA3ZTEifQ=="/>
  </w:docVars>
  <w:rsids>
    <w:rsidRoot w:val="00F1203D"/>
    <w:rsid w:val="00000808"/>
    <w:rsid w:val="0000118F"/>
    <w:rsid w:val="000014E7"/>
    <w:rsid w:val="000051C7"/>
    <w:rsid w:val="0000583A"/>
    <w:rsid w:val="00006CEC"/>
    <w:rsid w:val="00006EB0"/>
    <w:rsid w:val="0000739C"/>
    <w:rsid w:val="000079EE"/>
    <w:rsid w:val="00007B31"/>
    <w:rsid w:val="000108A0"/>
    <w:rsid w:val="0001100B"/>
    <w:rsid w:val="00011C7E"/>
    <w:rsid w:val="00013218"/>
    <w:rsid w:val="00013948"/>
    <w:rsid w:val="00013DBE"/>
    <w:rsid w:val="00015B4D"/>
    <w:rsid w:val="00015BF0"/>
    <w:rsid w:val="000162A8"/>
    <w:rsid w:val="00016369"/>
    <w:rsid w:val="00017A30"/>
    <w:rsid w:val="00020020"/>
    <w:rsid w:val="0002098B"/>
    <w:rsid w:val="00020BFA"/>
    <w:rsid w:val="0002129F"/>
    <w:rsid w:val="000215B2"/>
    <w:rsid w:val="00021E48"/>
    <w:rsid w:val="00022A3A"/>
    <w:rsid w:val="00024674"/>
    <w:rsid w:val="00025805"/>
    <w:rsid w:val="00025B92"/>
    <w:rsid w:val="0003096B"/>
    <w:rsid w:val="00031D9D"/>
    <w:rsid w:val="00033E69"/>
    <w:rsid w:val="00033FC1"/>
    <w:rsid w:val="000340A2"/>
    <w:rsid w:val="0003653E"/>
    <w:rsid w:val="000369C6"/>
    <w:rsid w:val="00036A60"/>
    <w:rsid w:val="00037568"/>
    <w:rsid w:val="00037A5F"/>
    <w:rsid w:val="000408E9"/>
    <w:rsid w:val="0004098B"/>
    <w:rsid w:val="00041BFA"/>
    <w:rsid w:val="00042904"/>
    <w:rsid w:val="00044DB0"/>
    <w:rsid w:val="00044FD2"/>
    <w:rsid w:val="000467FC"/>
    <w:rsid w:val="00050382"/>
    <w:rsid w:val="000505A4"/>
    <w:rsid w:val="00050A15"/>
    <w:rsid w:val="00050CF3"/>
    <w:rsid w:val="00050EF2"/>
    <w:rsid w:val="00053218"/>
    <w:rsid w:val="00053B22"/>
    <w:rsid w:val="00053BE6"/>
    <w:rsid w:val="00055214"/>
    <w:rsid w:val="0005592F"/>
    <w:rsid w:val="00055E53"/>
    <w:rsid w:val="00057971"/>
    <w:rsid w:val="00057ED6"/>
    <w:rsid w:val="0006004E"/>
    <w:rsid w:val="00060D68"/>
    <w:rsid w:val="0006108E"/>
    <w:rsid w:val="000616DB"/>
    <w:rsid w:val="00063096"/>
    <w:rsid w:val="000635AA"/>
    <w:rsid w:val="000645EA"/>
    <w:rsid w:val="00064C6D"/>
    <w:rsid w:val="000650BB"/>
    <w:rsid w:val="00065111"/>
    <w:rsid w:val="00065525"/>
    <w:rsid w:val="00065642"/>
    <w:rsid w:val="000675A5"/>
    <w:rsid w:val="00067950"/>
    <w:rsid w:val="00067D2E"/>
    <w:rsid w:val="00070CF8"/>
    <w:rsid w:val="00071B07"/>
    <w:rsid w:val="0007263E"/>
    <w:rsid w:val="00072AA0"/>
    <w:rsid w:val="000734E2"/>
    <w:rsid w:val="00073900"/>
    <w:rsid w:val="00074C94"/>
    <w:rsid w:val="00074DA1"/>
    <w:rsid w:val="0007501D"/>
    <w:rsid w:val="00075EB9"/>
    <w:rsid w:val="00075F25"/>
    <w:rsid w:val="000766B6"/>
    <w:rsid w:val="000772E7"/>
    <w:rsid w:val="00077AE7"/>
    <w:rsid w:val="0008086F"/>
    <w:rsid w:val="00081BCD"/>
    <w:rsid w:val="00081E62"/>
    <w:rsid w:val="00082910"/>
    <w:rsid w:val="00082CB1"/>
    <w:rsid w:val="00083A6D"/>
    <w:rsid w:val="00084871"/>
    <w:rsid w:val="00084E54"/>
    <w:rsid w:val="00084EC6"/>
    <w:rsid w:val="0008607B"/>
    <w:rsid w:val="000868C4"/>
    <w:rsid w:val="00087531"/>
    <w:rsid w:val="00090671"/>
    <w:rsid w:val="000908B8"/>
    <w:rsid w:val="0009111B"/>
    <w:rsid w:val="00091130"/>
    <w:rsid w:val="000914AE"/>
    <w:rsid w:val="000914D3"/>
    <w:rsid w:val="000915AE"/>
    <w:rsid w:val="000924F9"/>
    <w:rsid w:val="0009369B"/>
    <w:rsid w:val="00095243"/>
    <w:rsid w:val="000953DD"/>
    <w:rsid w:val="00095F4E"/>
    <w:rsid w:val="000962C5"/>
    <w:rsid w:val="0009689E"/>
    <w:rsid w:val="00096936"/>
    <w:rsid w:val="000975E5"/>
    <w:rsid w:val="000A0EE5"/>
    <w:rsid w:val="000A2C4E"/>
    <w:rsid w:val="000A35D9"/>
    <w:rsid w:val="000A5123"/>
    <w:rsid w:val="000A720D"/>
    <w:rsid w:val="000B13A6"/>
    <w:rsid w:val="000B1842"/>
    <w:rsid w:val="000B2190"/>
    <w:rsid w:val="000B2928"/>
    <w:rsid w:val="000B29A9"/>
    <w:rsid w:val="000B35F3"/>
    <w:rsid w:val="000B3967"/>
    <w:rsid w:val="000B3D63"/>
    <w:rsid w:val="000B6B71"/>
    <w:rsid w:val="000C047D"/>
    <w:rsid w:val="000C1534"/>
    <w:rsid w:val="000C2149"/>
    <w:rsid w:val="000C2F5A"/>
    <w:rsid w:val="000C3D1C"/>
    <w:rsid w:val="000C44D0"/>
    <w:rsid w:val="000C4D50"/>
    <w:rsid w:val="000C4F8F"/>
    <w:rsid w:val="000C5C05"/>
    <w:rsid w:val="000C6EB6"/>
    <w:rsid w:val="000C7CD9"/>
    <w:rsid w:val="000D2A22"/>
    <w:rsid w:val="000D2A58"/>
    <w:rsid w:val="000D39D1"/>
    <w:rsid w:val="000D401B"/>
    <w:rsid w:val="000D4EFB"/>
    <w:rsid w:val="000D5A48"/>
    <w:rsid w:val="000D755B"/>
    <w:rsid w:val="000E0433"/>
    <w:rsid w:val="000E3310"/>
    <w:rsid w:val="000E3C71"/>
    <w:rsid w:val="000E3E33"/>
    <w:rsid w:val="000E6525"/>
    <w:rsid w:val="000E65B6"/>
    <w:rsid w:val="000F1B65"/>
    <w:rsid w:val="000F1CE6"/>
    <w:rsid w:val="000F2490"/>
    <w:rsid w:val="000F2A86"/>
    <w:rsid w:val="000F2F83"/>
    <w:rsid w:val="000F34C5"/>
    <w:rsid w:val="000F34DD"/>
    <w:rsid w:val="000F6700"/>
    <w:rsid w:val="000F78A1"/>
    <w:rsid w:val="00101DAE"/>
    <w:rsid w:val="00103663"/>
    <w:rsid w:val="0010446F"/>
    <w:rsid w:val="001055B7"/>
    <w:rsid w:val="001060B7"/>
    <w:rsid w:val="00112A70"/>
    <w:rsid w:val="001140E6"/>
    <w:rsid w:val="001145EF"/>
    <w:rsid w:val="0011792F"/>
    <w:rsid w:val="00121127"/>
    <w:rsid w:val="00123361"/>
    <w:rsid w:val="001239DF"/>
    <w:rsid w:val="001247F9"/>
    <w:rsid w:val="0012613D"/>
    <w:rsid w:val="0012729C"/>
    <w:rsid w:val="00130F20"/>
    <w:rsid w:val="00132019"/>
    <w:rsid w:val="001333A9"/>
    <w:rsid w:val="0013359D"/>
    <w:rsid w:val="00133AEB"/>
    <w:rsid w:val="00134818"/>
    <w:rsid w:val="00137739"/>
    <w:rsid w:val="0013796A"/>
    <w:rsid w:val="0014071C"/>
    <w:rsid w:val="00143076"/>
    <w:rsid w:val="00143908"/>
    <w:rsid w:val="00145904"/>
    <w:rsid w:val="00147156"/>
    <w:rsid w:val="001501A7"/>
    <w:rsid w:val="00150750"/>
    <w:rsid w:val="00151247"/>
    <w:rsid w:val="0015224F"/>
    <w:rsid w:val="00153201"/>
    <w:rsid w:val="001547D1"/>
    <w:rsid w:val="00155B83"/>
    <w:rsid w:val="00155F60"/>
    <w:rsid w:val="0015626A"/>
    <w:rsid w:val="001562A1"/>
    <w:rsid w:val="00156767"/>
    <w:rsid w:val="00157455"/>
    <w:rsid w:val="00157FB5"/>
    <w:rsid w:val="00160270"/>
    <w:rsid w:val="001607BF"/>
    <w:rsid w:val="00162655"/>
    <w:rsid w:val="00162C50"/>
    <w:rsid w:val="00163319"/>
    <w:rsid w:val="001642A4"/>
    <w:rsid w:val="00164E13"/>
    <w:rsid w:val="00165F19"/>
    <w:rsid w:val="00170DF0"/>
    <w:rsid w:val="00171099"/>
    <w:rsid w:val="001710CB"/>
    <w:rsid w:val="001737B9"/>
    <w:rsid w:val="00174824"/>
    <w:rsid w:val="00174D5F"/>
    <w:rsid w:val="0017711D"/>
    <w:rsid w:val="00177581"/>
    <w:rsid w:val="00177BBE"/>
    <w:rsid w:val="00177F54"/>
    <w:rsid w:val="00180097"/>
    <w:rsid w:val="001801F6"/>
    <w:rsid w:val="00181B6F"/>
    <w:rsid w:val="00182849"/>
    <w:rsid w:val="001832EA"/>
    <w:rsid w:val="00184029"/>
    <w:rsid w:val="001843DB"/>
    <w:rsid w:val="001848DC"/>
    <w:rsid w:val="001864AB"/>
    <w:rsid w:val="001865FD"/>
    <w:rsid w:val="00186ED2"/>
    <w:rsid w:val="00186EFD"/>
    <w:rsid w:val="001878B2"/>
    <w:rsid w:val="00187EC4"/>
    <w:rsid w:val="00190D0A"/>
    <w:rsid w:val="001910C2"/>
    <w:rsid w:val="00195099"/>
    <w:rsid w:val="00195447"/>
    <w:rsid w:val="00195700"/>
    <w:rsid w:val="00195E13"/>
    <w:rsid w:val="001971D5"/>
    <w:rsid w:val="001972C8"/>
    <w:rsid w:val="00197E5A"/>
    <w:rsid w:val="001A19FB"/>
    <w:rsid w:val="001A1B98"/>
    <w:rsid w:val="001A37E4"/>
    <w:rsid w:val="001A46AB"/>
    <w:rsid w:val="001A4A3F"/>
    <w:rsid w:val="001A4CD8"/>
    <w:rsid w:val="001B0C4C"/>
    <w:rsid w:val="001B18A0"/>
    <w:rsid w:val="001B215B"/>
    <w:rsid w:val="001B3339"/>
    <w:rsid w:val="001B40B3"/>
    <w:rsid w:val="001B4417"/>
    <w:rsid w:val="001B761A"/>
    <w:rsid w:val="001C28DD"/>
    <w:rsid w:val="001C316C"/>
    <w:rsid w:val="001C33DA"/>
    <w:rsid w:val="001C3A86"/>
    <w:rsid w:val="001C6B0C"/>
    <w:rsid w:val="001C6E1F"/>
    <w:rsid w:val="001C7321"/>
    <w:rsid w:val="001C7A88"/>
    <w:rsid w:val="001D003A"/>
    <w:rsid w:val="001D09EE"/>
    <w:rsid w:val="001D09FC"/>
    <w:rsid w:val="001D17E9"/>
    <w:rsid w:val="001D2286"/>
    <w:rsid w:val="001D34DE"/>
    <w:rsid w:val="001D4545"/>
    <w:rsid w:val="001D5B81"/>
    <w:rsid w:val="001D5BD5"/>
    <w:rsid w:val="001D77F0"/>
    <w:rsid w:val="001E00E2"/>
    <w:rsid w:val="001E09E5"/>
    <w:rsid w:val="001E0F19"/>
    <w:rsid w:val="001E23F3"/>
    <w:rsid w:val="001E2789"/>
    <w:rsid w:val="001E34A7"/>
    <w:rsid w:val="001E5825"/>
    <w:rsid w:val="001E7B88"/>
    <w:rsid w:val="001F025D"/>
    <w:rsid w:val="001F04C2"/>
    <w:rsid w:val="001F352D"/>
    <w:rsid w:val="001F4619"/>
    <w:rsid w:val="001F5168"/>
    <w:rsid w:val="00200197"/>
    <w:rsid w:val="00201F19"/>
    <w:rsid w:val="00202B46"/>
    <w:rsid w:val="00203042"/>
    <w:rsid w:val="00203AA3"/>
    <w:rsid w:val="0020594F"/>
    <w:rsid w:val="00205AF2"/>
    <w:rsid w:val="0020664E"/>
    <w:rsid w:val="00206B71"/>
    <w:rsid w:val="00206BEB"/>
    <w:rsid w:val="002072CB"/>
    <w:rsid w:val="00207A2C"/>
    <w:rsid w:val="00212095"/>
    <w:rsid w:val="00212395"/>
    <w:rsid w:val="0021281E"/>
    <w:rsid w:val="0021364E"/>
    <w:rsid w:val="00214414"/>
    <w:rsid w:val="0021487A"/>
    <w:rsid w:val="002148F4"/>
    <w:rsid w:val="0021519E"/>
    <w:rsid w:val="00216EFD"/>
    <w:rsid w:val="002178C1"/>
    <w:rsid w:val="002204E0"/>
    <w:rsid w:val="002208A5"/>
    <w:rsid w:val="002216A6"/>
    <w:rsid w:val="0022189A"/>
    <w:rsid w:val="002225F0"/>
    <w:rsid w:val="00222A47"/>
    <w:rsid w:val="002241A3"/>
    <w:rsid w:val="002275A4"/>
    <w:rsid w:val="00227F67"/>
    <w:rsid w:val="00231D02"/>
    <w:rsid w:val="00232172"/>
    <w:rsid w:val="0023284E"/>
    <w:rsid w:val="002359E0"/>
    <w:rsid w:val="002406EE"/>
    <w:rsid w:val="00240C9E"/>
    <w:rsid w:val="00241827"/>
    <w:rsid w:val="002443B7"/>
    <w:rsid w:val="002443FA"/>
    <w:rsid w:val="00244541"/>
    <w:rsid w:val="00244C40"/>
    <w:rsid w:val="00245EB0"/>
    <w:rsid w:val="0024686E"/>
    <w:rsid w:val="00246DA3"/>
    <w:rsid w:val="00250804"/>
    <w:rsid w:val="002536BE"/>
    <w:rsid w:val="002543CF"/>
    <w:rsid w:val="00255A04"/>
    <w:rsid w:val="00255AAD"/>
    <w:rsid w:val="002570E0"/>
    <w:rsid w:val="00261BBC"/>
    <w:rsid w:val="002621ED"/>
    <w:rsid w:val="00262918"/>
    <w:rsid w:val="00262E36"/>
    <w:rsid w:val="002640D3"/>
    <w:rsid w:val="0026569C"/>
    <w:rsid w:val="00265A05"/>
    <w:rsid w:val="00265B46"/>
    <w:rsid w:val="00265E8A"/>
    <w:rsid w:val="00266476"/>
    <w:rsid w:val="00266BA5"/>
    <w:rsid w:val="002678D8"/>
    <w:rsid w:val="002679EB"/>
    <w:rsid w:val="002700FA"/>
    <w:rsid w:val="00270156"/>
    <w:rsid w:val="00270A5A"/>
    <w:rsid w:val="002750BD"/>
    <w:rsid w:val="00276E67"/>
    <w:rsid w:val="00281E64"/>
    <w:rsid w:val="00281FA7"/>
    <w:rsid w:val="00282AF6"/>
    <w:rsid w:val="00282FFB"/>
    <w:rsid w:val="00283421"/>
    <w:rsid w:val="00284278"/>
    <w:rsid w:val="00284EB3"/>
    <w:rsid w:val="002857D8"/>
    <w:rsid w:val="00285B9B"/>
    <w:rsid w:val="00285DC5"/>
    <w:rsid w:val="00286759"/>
    <w:rsid w:val="0028682F"/>
    <w:rsid w:val="00286A0D"/>
    <w:rsid w:val="00286C13"/>
    <w:rsid w:val="00286F3F"/>
    <w:rsid w:val="0029186F"/>
    <w:rsid w:val="00291DFA"/>
    <w:rsid w:val="002936A1"/>
    <w:rsid w:val="00294EC1"/>
    <w:rsid w:val="002951F7"/>
    <w:rsid w:val="00296313"/>
    <w:rsid w:val="002A156F"/>
    <w:rsid w:val="002A1998"/>
    <w:rsid w:val="002A2B6B"/>
    <w:rsid w:val="002A34E5"/>
    <w:rsid w:val="002A3611"/>
    <w:rsid w:val="002A38E6"/>
    <w:rsid w:val="002A43F2"/>
    <w:rsid w:val="002A4772"/>
    <w:rsid w:val="002A5727"/>
    <w:rsid w:val="002A6EB2"/>
    <w:rsid w:val="002A7030"/>
    <w:rsid w:val="002A732C"/>
    <w:rsid w:val="002A7B05"/>
    <w:rsid w:val="002B0720"/>
    <w:rsid w:val="002B0E03"/>
    <w:rsid w:val="002B264A"/>
    <w:rsid w:val="002B2EF4"/>
    <w:rsid w:val="002B36FF"/>
    <w:rsid w:val="002B546A"/>
    <w:rsid w:val="002B6409"/>
    <w:rsid w:val="002B6DDF"/>
    <w:rsid w:val="002B766D"/>
    <w:rsid w:val="002C07CE"/>
    <w:rsid w:val="002C0A6E"/>
    <w:rsid w:val="002C10FE"/>
    <w:rsid w:val="002C2774"/>
    <w:rsid w:val="002C2CE7"/>
    <w:rsid w:val="002C3491"/>
    <w:rsid w:val="002C3746"/>
    <w:rsid w:val="002C37ED"/>
    <w:rsid w:val="002C410E"/>
    <w:rsid w:val="002C4122"/>
    <w:rsid w:val="002C427E"/>
    <w:rsid w:val="002C466F"/>
    <w:rsid w:val="002C5C25"/>
    <w:rsid w:val="002C6BB0"/>
    <w:rsid w:val="002C78C7"/>
    <w:rsid w:val="002D2002"/>
    <w:rsid w:val="002D283B"/>
    <w:rsid w:val="002D2B8E"/>
    <w:rsid w:val="002D5404"/>
    <w:rsid w:val="002D5EB0"/>
    <w:rsid w:val="002D63B2"/>
    <w:rsid w:val="002D6EF2"/>
    <w:rsid w:val="002D722C"/>
    <w:rsid w:val="002D7A5E"/>
    <w:rsid w:val="002E1BED"/>
    <w:rsid w:val="002E2471"/>
    <w:rsid w:val="002E31D1"/>
    <w:rsid w:val="002E32F4"/>
    <w:rsid w:val="002E34BC"/>
    <w:rsid w:val="002E516A"/>
    <w:rsid w:val="002E6883"/>
    <w:rsid w:val="002E6951"/>
    <w:rsid w:val="002E71C6"/>
    <w:rsid w:val="002F010E"/>
    <w:rsid w:val="002F0921"/>
    <w:rsid w:val="002F226E"/>
    <w:rsid w:val="002F32FC"/>
    <w:rsid w:val="002F3F13"/>
    <w:rsid w:val="002F434E"/>
    <w:rsid w:val="002F4761"/>
    <w:rsid w:val="002F4AD1"/>
    <w:rsid w:val="002F55BD"/>
    <w:rsid w:val="002F5DD1"/>
    <w:rsid w:val="002F64E2"/>
    <w:rsid w:val="002F6595"/>
    <w:rsid w:val="002F6BA6"/>
    <w:rsid w:val="003002A8"/>
    <w:rsid w:val="00300E5A"/>
    <w:rsid w:val="0030187F"/>
    <w:rsid w:val="003024DD"/>
    <w:rsid w:val="00303B3D"/>
    <w:rsid w:val="00304FCD"/>
    <w:rsid w:val="003053A7"/>
    <w:rsid w:val="0030567F"/>
    <w:rsid w:val="003057EA"/>
    <w:rsid w:val="00305A21"/>
    <w:rsid w:val="00306575"/>
    <w:rsid w:val="00306A92"/>
    <w:rsid w:val="00306D63"/>
    <w:rsid w:val="00307CB4"/>
    <w:rsid w:val="00310077"/>
    <w:rsid w:val="00310FF2"/>
    <w:rsid w:val="003124CA"/>
    <w:rsid w:val="00312E81"/>
    <w:rsid w:val="00313EC7"/>
    <w:rsid w:val="003145FF"/>
    <w:rsid w:val="00316577"/>
    <w:rsid w:val="00316FB0"/>
    <w:rsid w:val="00317453"/>
    <w:rsid w:val="00317ADE"/>
    <w:rsid w:val="0032024D"/>
    <w:rsid w:val="003248E9"/>
    <w:rsid w:val="00324D13"/>
    <w:rsid w:val="00324E64"/>
    <w:rsid w:val="003277CF"/>
    <w:rsid w:val="00330093"/>
    <w:rsid w:val="00331213"/>
    <w:rsid w:val="003316CF"/>
    <w:rsid w:val="003316E8"/>
    <w:rsid w:val="00332744"/>
    <w:rsid w:val="00333C77"/>
    <w:rsid w:val="00333EC5"/>
    <w:rsid w:val="00334112"/>
    <w:rsid w:val="00334E4C"/>
    <w:rsid w:val="00336400"/>
    <w:rsid w:val="003377E5"/>
    <w:rsid w:val="00340334"/>
    <w:rsid w:val="00340FA1"/>
    <w:rsid w:val="003436D5"/>
    <w:rsid w:val="00343A85"/>
    <w:rsid w:val="00345873"/>
    <w:rsid w:val="00345AD9"/>
    <w:rsid w:val="00345DBD"/>
    <w:rsid w:val="00346DFF"/>
    <w:rsid w:val="00347389"/>
    <w:rsid w:val="003501A7"/>
    <w:rsid w:val="00350BEC"/>
    <w:rsid w:val="00351A1B"/>
    <w:rsid w:val="00352403"/>
    <w:rsid w:val="00353371"/>
    <w:rsid w:val="00353565"/>
    <w:rsid w:val="0035627A"/>
    <w:rsid w:val="00357791"/>
    <w:rsid w:val="00361712"/>
    <w:rsid w:val="00361899"/>
    <w:rsid w:val="00361A31"/>
    <w:rsid w:val="003644BC"/>
    <w:rsid w:val="0036544F"/>
    <w:rsid w:val="00365732"/>
    <w:rsid w:val="0036677B"/>
    <w:rsid w:val="00366BD9"/>
    <w:rsid w:val="00371DB6"/>
    <w:rsid w:val="0037293C"/>
    <w:rsid w:val="00372FA0"/>
    <w:rsid w:val="0037353E"/>
    <w:rsid w:val="003737BD"/>
    <w:rsid w:val="00375B6D"/>
    <w:rsid w:val="003766D0"/>
    <w:rsid w:val="003771FD"/>
    <w:rsid w:val="00377C47"/>
    <w:rsid w:val="00377FDD"/>
    <w:rsid w:val="00382806"/>
    <w:rsid w:val="003830B7"/>
    <w:rsid w:val="003830D7"/>
    <w:rsid w:val="00383A4B"/>
    <w:rsid w:val="00383D57"/>
    <w:rsid w:val="00386490"/>
    <w:rsid w:val="003875D0"/>
    <w:rsid w:val="00387B28"/>
    <w:rsid w:val="00390EE5"/>
    <w:rsid w:val="00390F4F"/>
    <w:rsid w:val="00391749"/>
    <w:rsid w:val="003927DB"/>
    <w:rsid w:val="003928B5"/>
    <w:rsid w:val="00393003"/>
    <w:rsid w:val="003933A3"/>
    <w:rsid w:val="003936B2"/>
    <w:rsid w:val="0039380B"/>
    <w:rsid w:val="003A039F"/>
    <w:rsid w:val="003A109F"/>
    <w:rsid w:val="003A1D78"/>
    <w:rsid w:val="003A22D5"/>
    <w:rsid w:val="003A3AEC"/>
    <w:rsid w:val="003A48D5"/>
    <w:rsid w:val="003A49BA"/>
    <w:rsid w:val="003A4B55"/>
    <w:rsid w:val="003A4F9C"/>
    <w:rsid w:val="003A5187"/>
    <w:rsid w:val="003A6E30"/>
    <w:rsid w:val="003A7956"/>
    <w:rsid w:val="003A7D53"/>
    <w:rsid w:val="003B7836"/>
    <w:rsid w:val="003C027A"/>
    <w:rsid w:val="003C0BBA"/>
    <w:rsid w:val="003C2989"/>
    <w:rsid w:val="003C393A"/>
    <w:rsid w:val="003C4A10"/>
    <w:rsid w:val="003C5168"/>
    <w:rsid w:val="003D069A"/>
    <w:rsid w:val="003D1616"/>
    <w:rsid w:val="003D18C0"/>
    <w:rsid w:val="003D2284"/>
    <w:rsid w:val="003D255B"/>
    <w:rsid w:val="003D3610"/>
    <w:rsid w:val="003D37C8"/>
    <w:rsid w:val="003D3A42"/>
    <w:rsid w:val="003D5051"/>
    <w:rsid w:val="003D67BB"/>
    <w:rsid w:val="003E0E29"/>
    <w:rsid w:val="003E1813"/>
    <w:rsid w:val="003E1E56"/>
    <w:rsid w:val="003E3AB8"/>
    <w:rsid w:val="003E417E"/>
    <w:rsid w:val="003E5F13"/>
    <w:rsid w:val="003E602D"/>
    <w:rsid w:val="003E61DA"/>
    <w:rsid w:val="003E6BC7"/>
    <w:rsid w:val="003F24C4"/>
    <w:rsid w:val="003F2999"/>
    <w:rsid w:val="003F35E8"/>
    <w:rsid w:val="003F3B86"/>
    <w:rsid w:val="003F413D"/>
    <w:rsid w:val="003F4C3E"/>
    <w:rsid w:val="003F7592"/>
    <w:rsid w:val="00401A37"/>
    <w:rsid w:val="00402B31"/>
    <w:rsid w:val="00403115"/>
    <w:rsid w:val="00403898"/>
    <w:rsid w:val="004047C8"/>
    <w:rsid w:val="00406367"/>
    <w:rsid w:val="00406548"/>
    <w:rsid w:val="004072B1"/>
    <w:rsid w:val="00410934"/>
    <w:rsid w:val="004109A3"/>
    <w:rsid w:val="00410C99"/>
    <w:rsid w:val="0041319B"/>
    <w:rsid w:val="00414E27"/>
    <w:rsid w:val="004160F1"/>
    <w:rsid w:val="0041664A"/>
    <w:rsid w:val="004173B8"/>
    <w:rsid w:val="00417BF8"/>
    <w:rsid w:val="00417CCC"/>
    <w:rsid w:val="0042040F"/>
    <w:rsid w:val="00420FAF"/>
    <w:rsid w:val="004234E2"/>
    <w:rsid w:val="00423A1F"/>
    <w:rsid w:val="00423F07"/>
    <w:rsid w:val="00423F4B"/>
    <w:rsid w:val="004242A4"/>
    <w:rsid w:val="00424DD5"/>
    <w:rsid w:val="00431486"/>
    <w:rsid w:val="00431DCE"/>
    <w:rsid w:val="00431FD8"/>
    <w:rsid w:val="00433B26"/>
    <w:rsid w:val="00433F91"/>
    <w:rsid w:val="0043459C"/>
    <w:rsid w:val="0043478E"/>
    <w:rsid w:val="00436F5B"/>
    <w:rsid w:val="0043760C"/>
    <w:rsid w:val="00440A7A"/>
    <w:rsid w:val="00440E6E"/>
    <w:rsid w:val="0044159C"/>
    <w:rsid w:val="0044172B"/>
    <w:rsid w:val="00441E06"/>
    <w:rsid w:val="00442AB3"/>
    <w:rsid w:val="00444616"/>
    <w:rsid w:val="00444C24"/>
    <w:rsid w:val="00444D32"/>
    <w:rsid w:val="00444E06"/>
    <w:rsid w:val="004507F2"/>
    <w:rsid w:val="004529C8"/>
    <w:rsid w:val="004529F9"/>
    <w:rsid w:val="00453C19"/>
    <w:rsid w:val="00455B7A"/>
    <w:rsid w:val="00455DA3"/>
    <w:rsid w:val="00455DC0"/>
    <w:rsid w:val="004574CE"/>
    <w:rsid w:val="00457858"/>
    <w:rsid w:val="00457DB5"/>
    <w:rsid w:val="00460694"/>
    <w:rsid w:val="0046073B"/>
    <w:rsid w:val="00460E4B"/>
    <w:rsid w:val="004645DB"/>
    <w:rsid w:val="0046487A"/>
    <w:rsid w:val="00464AEE"/>
    <w:rsid w:val="00465C58"/>
    <w:rsid w:val="00466CE9"/>
    <w:rsid w:val="00467152"/>
    <w:rsid w:val="00467990"/>
    <w:rsid w:val="00467FC5"/>
    <w:rsid w:val="00470114"/>
    <w:rsid w:val="00470D88"/>
    <w:rsid w:val="0047292D"/>
    <w:rsid w:val="004737CC"/>
    <w:rsid w:val="00474988"/>
    <w:rsid w:val="00474FB4"/>
    <w:rsid w:val="004767B4"/>
    <w:rsid w:val="00476E81"/>
    <w:rsid w:val="00477026"/>
    <w:rsid w:val="0048055E"/>
    <w:rsid w:val="0048143E"/>
    <w:rsid w:val="004814F3"/>
    <w:rsid w:val="00481884"/>
    <w:rsid w:val="00481BD5"/>
    <w:rsid w:val="0048332D"/>
    <w:rsid w:val="00483BF6"/>
    <w:rsid w:val="004852FA"/>
    <w:rsid w:val="00485B2C"/>
    <w:rsid w:val="00486E1F"/>
    <w:rsid w:val="00490E93"/>
    <w:rsid w:val="004910B1"/>
    <w:rsid w:val="00492B2D"/>
    <w:rsid w:val="00492C5F"/>
    <w:rsid w:val="00493A78"/>
    <w:rsid w:val="00494225"/>
    <w:rsid w:val="00494533"/>
    <w:rsid w:val="00494D90"/>
    <w:rsid w:val="004962F9"/>
    <w:rsid w:val="00497949"/>
    <w:rsid w:val="00497D8F"/>
    <w:rsid w:val="004A0597"/>
    <w:rsid w:val="004A117B"/>
    <w:rsid w:val="004A13A0"/>
    <w:rsid w:val="004A17C3"/>
    <w:rsid w:val="004A24FA"/>
    <w:rsid w:val="004A2A28"/>
    <w:rsid w:val="004A475B"/>
    <w:rsid w:val="004A6021"/>
    <w:rsid w:val="004A7F26"/>
    <w:rsid w:val="004B22C0"/>
    <w:rsid w:val="004B2817"/>
    <w:rsid w:val="004B3DF0"/>
    <w:rsid w:val="004B63EF"/>
    <w:rsid w:val="004B67A5"/>
    <w:rsid w:val="004B6B68"/>
    <w:rsid w:val="004B6C47"/>
    <w:rsid w:val="004C0674"/>
    <w:rsid w:val="004C06E2"/>
    <w:rsid w:val="004C1BDD"/>
    <w:rsid w:val="004C31A0"/>
    <w:rsid w:val="004C3206"/>
    <w:rsid w:val="004C3675"/>
    <w:rsid w:val="004C3F35"/>
    <w:rsid w:val="004C5033"/>
    <w:rsid w:val="004C51A1"/>
    <w:rsid w:val="004C6598"/>
    <w:rsid w:val="004C68D8"/>
    <w:rsid w:val="004D4941"/>
    <w:rsid w:val="004D51CB"/>
    <w:rsid w:val="004D5D29"/>
    <w:rsid w:val="004D694B"/>
    <w:rsid w:val="004E1316"/>
    <w:rsid w:val="004E156B"/>
    <w:rsid w:val="004E1B13"/>
    <w:rsid w:val="004E413B"/>
    <w:rsid w:val="004E433C"/>
    <w:rsid w:val="004E554B"/>
    <w:rsid w:val="004E6429"/>
    <w:rsid w:val="004E6497"/>
    <w:rsid w:val="004E6A1C"/>
    <w:rsid w:val="004E6F08"/>
    <w:rsid w:val="004E7549"/>
    <w:rsid w:val="004E767E"/>
    <w:rsid w:val="004F0808"/>
    <w:rsid w:val="004F0BAC"/>
    <w:rsid w:val="004F194C"/>
    <w:rsid w:val="004F1FA2"/>
    <w:rsid w:val="004F20BD"/>
    <w:rsid w:val="004F2E0B"/>
    <w:rsid w:val="004F3F90"/>
    <w:rsid w:val="004F4C8B"/>
    <w:rsid w:val="004F517E"/>
    <w:rsid w:val="004F5664"/>
    <w:rsid w:val="004F57FD"/>
    <w:rsid w:val="004F6030"/>
    <w:rsid w:val="004F627F"/>
    <w:rsid w:val="004F6A6A"/>
    <w:rsid w:val="004F6BD1"/>
    <w:rsid w:val="004F7170"/>
    <w:rsid w:val="004F7CCB"/>
    <w:rsid w:val="004F7EEE"/>
    <w:rsid w:val="0050001C"/>
    <w:rsid w:val="00500037"/>
    <w:rsid w:val="00500E47"/>
    <w:rsid w:val="00501472"/>
    <w:rsid w:val="00501524"/>
    <w:rsid w:val="00501D48"/>
    <w:rsid w:val="00502136"/>
    <w:rsid w:val="005032C8"/>
    <w:rsid w:val="00503B39"/>
    <w:rsid w:val="005040C9"/>
    <w:rsid w:val="00504359"/>
    <w:rsid w:val="00504B7E"/>
    <w:rsid w:val="00505787"/>
    <w:rsid w:val="005059BB"/>
    <w:rsid w:val="00507324"/>
    <w:rsid w:val="005102AF"/>
    <w:rsid w:val="00511DF7"/>
    <w:rsid w:val="005121E4"/>
    <w:rsid w:val="00513499"/>
    <w:rsid w:val="00515673"/>
    <w:rsid w:val="005161FA"/>
    <w:rsid w:val="00517AC3"/>
    <w:rsid w:val="00520E39"/>
    <w:rsid w:val="0052430D"/>
    <w:rsid w:val="00524F4E"/>
    <w:rsid w:val="00526253"/>
    <w:rsid w:val="00526EB8"/>
    <w:rsid w:val="00527C43"/>
    <w:rsid w:val="0053142F"/>
    <w:rsid w:val="00531F2E"/>
    <w:rsid w:val="005338C8"/>
    <w:rsid w:val="0053444B"/>
    <w:rsid w:val="00535151"/>
    <w:rsid w:val="005357C5"/>
    <w:rsid w:val="00535849"/>
    <w:rsid w:val="00537D79"/>
    <w:rsid w:val="00540531"/>
    <w:rsid w:val="00541142"/>
    <w:rsid w:val="00542891"/>
    <w:rsid w:val="00545485"/>
    <w:rsid w:val="005471BF"/>
    <w:rsid w:val="0054726C"/>
    <w:rsid w:val="0054793F"/>
    <w:rsid w:val="00547E61"/>
    <w:rsid w:val="005509E3"/>
    <w:rsid w:val="00550DA6"/>
    <w:rsid w:val="005528A8"/>
    <w:rsid w:val="00552986"/>
    <w:rsid w:val="00553094"/>
    <w:rsid w:val="0055352D"/>
    <w:rsid w:val="005542DF"/>
    <w:rsid w:val="0055542A"/>
    <w:rsid w:val="00555DB9"/>
    <w:rsid w:val="0055614E"/>
    <w:rsid w:val="0055670C"/>
    <w:rsid w:val="0055705D"/>
    <w:rsid w:val="00561E81"/>
    <w:rsid w:val="0056269A"/>
    <w:rsid w:val="005629E4"/>
    <w:rsid w:val="00564E1F"/>
    <w:rsid w:val="00565BC0"/>
    <w:rsid w:val="00565C7E"/>
    <w:rsid w:val="00565FB7"/>
    <w:rsid w:val="00566498"/>
    <w:rsid w:val="005666B8"/>
    <w:rsid w:val="00566B55"/>
    <w:rsid w:val="00570954"/>
    <w:rsid w:val="00570F5D"/>
    <w:rsid w:val="00571017"/>
    <w:rsid w:val="0057195F"/>
    <w:rsid w:val="0057468C"/>
    <w:rsid w:val="00576378"/>
    <w:rsid w:val="005769B3"/>
    <w:rsid w:val="00582145"/>
    <w:rsid w:val="005840A9"/>
    <w:rsid w:val="00584F09"/>
    <w:rsid w:val="00585F0E"/>
    <w:rsid w:val="0058675F"/>
    <w:rsid w:val="00586DD0"/>
    <w:rsid w:val="005870B8"/>
    <w:rsid w:val="00590F91"/>
    <w:rsid w:val="005918A5"/>
    <w:rsid w:val="00592A69"/>
    <w:rsid w:val="00592B70"/>
    <w:rsid w:val="00593545"/>
    <w:rsid w:val="005937C6"/>
    <w:rsid w:val="00594AC9"/>
    <w:rsid w:val="00595512"/>
    <w:rsid w:val="00595B16"/>
    <w:rsid w:val="00596973"/>
    <w:rsid w:val="005A04F5"/>
    <w:rsid w:val="005A2091"/>
    <w:rsid w:val="005A2B49"/>
    <w:rsid w:val="005A43C3"/>
    <w:rsid w:val="005A488B"/>
    <w:rsid w:val="005A49CD"/>
    <w:rsid w:val="005A5852"/>
    <w:rsid w:val="005A6003"/>
    <w:rsid w:val="005A6B64"/>
    <w:rsid w:val="005A79B4"/>
    <w:rsid w:val="005B0A79"/>
    <w:rsid w:val="005B1DC6"/>
    <w:rsid w:val="005B5C0C"/>
    <w:rsid w:val="005B6988"/>
    <w:rsid w:val="005C1ED6"/>
    <w:rsid w:val="005C2E73"/>
    <w:rsid w:val="005C313A"/>
    <w:rsid w:val="005C33B0"/>
    <w:rsid w:val="005C37B7"/>
    <w:rsid w:val="005C3D65"/>
    <w:rsid w:val="005C4112"/>
    <w:rsid w:val="005C5421"/>
    <w:rsid w:val="005C59B2"/>
    <w:rsid w:val="005D0B8E"/>
    <w:rsid w:val="005D17AB"/>
    <w:rsid w:val="005D1C4A"/>
    <w:rsid w:val="005D27F5"/>
    <w:rsid w:val="005D3130"/>
    <w:rsid w:val="005D4D90"/>
    <w:rsid w:val="005D553C"/>
    <w:rsid w:val="005D56D4"/>
    <w:rsid w:val="005D78B5"/>
    <w:rsid w:val="005D78E7"/>
    <w:rsid w:val="005E1C20"/>
    <w:rsid w:val="005E2B0C"/>
    <w:rsid w:val="005E33A3"/>
    <w:rsid w:val="005E5C13"/>
    <w:rsid w:val="005E62DF"/>
    <w:rsid w:val="005E681D"/>
    <w:rsid w:val="005E6C7A"/>
    <w:rsid w:val="005E7364"/>
    <w:rsid w:val="005E7E73"/>
    <w:rsid w:val="005E7F1C"/>
    <w:rsid w:val="005F0167"/>
    <w:rsid w:val="005F0266"/>
    <w:rsid w:val="005F0F33"/>
    <w:rsid w:val="005F1C07"/>
    <w:rsid w:val="005F2650"/>
    <w:rsid w:val="005F28A6"/>
    <w:rsid w:val="005F458A"/>
    <w:rsid w:val="005F50F6"/>
    <w:rsid w:val="005F5236"/>
    <w:rsid w:val="005F57F7"/>
    <w:rsid w:val="005F6200"/>
    <w:rsid w:val="005F6652"/>
    <w:rsid w:val="005F7F73"/>
    <w:rsid w:val="0060017C"/>
    <w:rsid w:val="0060116C"/>
    <w:rsid w:val="006012C2"/>
    <w:rsid w:val="00601C61"/>
    <w:rsid w:val="00601E17"/>
    <w:rsid w:val="00602BE6"/>
    <w:rsid w:val="00602F14"/>
    <w:rsid w:val="00602FE2"/>
    <w:rsid w:val="00607596"/>
    <w:rsid w:val="00607AD8"/>
    <w:rsid w:val="0061084D"/>
    <w:rsid w:val="006118A2"/>
    <w:rsid w:val="00613613"/>
    <w:rsid w:val="0061471D"/>
    <w:rsid w:val="00614E6E"/>
    <w:rsid w:val="00617A2B"/>
    <w:rsid w:val="006206AC"/>
    <w:rsid w:val="006209FA"/>
    <w:rsid w:val="00621FEB"/>
    <w:rsid w:val="0062281A"/>
    <w:rsid w:val="006228D0"/>
    <w:rsid w:val="00625448"/>
    <w:rsid w:val="00625D7F"/>
    <w:rsid w:val="00626A36"/>
    <w:rsid w:val="00627D9F"/>
    <w:rsid w:val="0063053B"/>
    <w:rsid w:val="00632ACB"/>
    <w:rsid w:val="006337E1"/>
    <w:rsid w:val="0063471A"/>
    <w:rsid w:val="00634858"/>
    <w:rsid w:val="00634B1F"/>
    <w:rsid w:val="00635474"/>
    <w:rsid w:val="00636A1B"/>
    <w:rsid w:val="00637ABE"/>
    <w:rsid w:val="00640504"/>
    <w:rsid w:val="00640D30"/>
    <w:rsid w:val="0064233C"/>
    <w:rsid w:val="0064277D"/>
    <w:rsid w:val="00643601"/>
    <w:rsid w:val="00645004"/>
    <w:rsid w:val="0064738F"/>
    <w:rsid w:val="00650ECA"/>
    <w:rsid w:val="00650F70"/>
    <w:rsid w:val="00652718"/>
    <w:rsid w:val="0065340E"/>
    <w:rsid w:val="0065370C"/>
    <w:rsid w:val="006538BE"/>
    <w:rsid w:val="00653F1C"/>
    <w:rsid w:val="006564E1"/>
    <w:rsid w:val="00656FCE"/>
    <w:rsid w:val="00657AB3"/>
    <w:rsid w:val="00657D2D"/>
    <w:rsid w:val="00660866"/>
    <w:rsid w:val="0066147D"/>
    <w:rsid w:val="006630A8"/>
    <w:rsid w:val="00663CE2"/>
    <w:rsid w:val="00664049"/>
    <w:rsid w:val="00664579"/>
    <w:rsid w:val="00664B33"/>
    <w:rsid w:val="006659B6"/>
    <w:rsid w:val="0066677B"/>
    <w:rsid w:val="006678CA"/>
    <w:rsid w:val="00667981"/>
    <w:rsid w:val="00667CF0"/>
    <w:rsid w:val="006711B2"/>
    <w:rsid w:val="0067150C"/>
    <w:rsid w:val="00672BAD"/>
    <w:rsid w:val="00672FF7"/>
    <w:rsid w:val="0067401A"/>
    <w:rsid w:val="00674737"/>
    <w:rsid w:val="00674F2E"/>
    <w:rsid w:val="00675569"/>
    <w:rsid w:val="006807E6"/>
    <w:rsid w:val="00680A7C"/>
    <w:rsid w:val="00682ED1"/>
    <w:rsid w:val="006847D9"/>
    <w:rsid w:val="00684914"/>
    <w:rsid w:val="0068708E"/>
    <w:rsid w:val="00690176"/>
    <w:rsid w:val="0069087E"/>
    <w:rsid w:val="00690FDB"/>
    <w:rsid w:val="006913A8"/>
    <w:rsid w:val="00691BC5"/>
    <w:rsid w:val="00691C31"/>
    <w:rsid w:val="00691CFD"/>
    <w:rsid w:val="00692B9C"/>
    <w:rsid w:val="00692C5B"/>
    <w:rsid w:val="00693E76"/>
    <w:rsid w:val="0069452B"/>
    <w:rsid w:val="00696B0F"/>
    <w:rsid w:val="00696BA2"/>
    <w:rsid w:val="0069742B"/>
    <w:rsid w:val="006A0048"/>
    <w:rsid w:val="006A1133"/>
    <w:rsid w:val="006A2C84"/>
    <w:rsid w:val="006A4077"/>
    <w:rsid w:val="006A4301"/>
    <w:rsid w:val="006A5B41"/>
    <w:rsid w:val="006A674F"/>
    <w:rsid w:val="006A6F0C"/>
    <w:rsid w:val="006A7BE2"/>
    <w:rsid w:val="006B01FA"/>
    <w:rsid w:val="006B0582"/>
    <w:rsid w:val="006B1600"/>
    <w:rsid w:val="006B34EC"/>
    <w:rsid w:val="006B4FCE"/>
    <w:rsid w:val="006C0134"/>
    <w:rsid w:val="006C2F06"/>
    <w:rsid w:val="006C327F"/>
    <w:rsid w:val="006C4EE7"/>
    <w:rsid w:val="006C689F"/>
    <w:rsid w:val="006D0F6E"/>
    <w:rsid w:val="006D17AF"/>
    <w:rsid w:val="006D19B9"/>
    <w:rsid w:val="006D3A78"/>
    <w:rsid w:val="006D71BC"/>
    <w:rsid w:val="006D77C9"/>
    <w:rsid w:val="006D7940"/>
    <w:rsid w:val="006D7A63"/>
    <w:rsid w:val="006E1CBA"/>
    <w:rsid w:val="006E1D10"/>
    <w:rsid w:val="006E1FF8"/>
    <w:rsid w:val="006E2851"/>
    <w:rsid w:val="006E392D"/>
    <w:rsid w:val="006E3957"/>
    <w:rsid w:val="006E513A"/>
    <w:rsid w:val="006E5D0D"/>
    <w:rsid w:val="006E622E"/>
    <w:rsid w:val="006E6252"/>
    <w:rsid w:val="006E7276"/>
    <w:rsid w:val="006E743F"/>
    <w:rsid w:val="006F1361"/>
    <w:rsid w:val="006F297F"/>
    <w:rsid w:val="006F32BB"/>
    <w:rsid w:val="006F373D"/>
    <w:rsid w:val="006F3E9D"/>
    <w:rsid w:val="006F51F1"/>
    <w:rsid w:val="006F627B"/>
    <w:rsid w:val="007001EF"/>
    <w:rsid w:val="00703A7E"/>
    <w:rsid w:val="007040E3"/>
    <w:rsid w:val="00704B64"/>
    <w:rsid w:val="00705694"/>
    <w:rsid w:val="00705B08"/>
    <w:rsid w:val="00705D61"/>
    <w:rsid w:val="00707045"/>
    <w:rsid w:val="0071037E"/>
    <w:rsid w:val="007141D3"/>
    <w:rsid w:val="007154B5"/>
    <w:rsid w:val="007154F2"/>
    <w:rsid w:val="0071568B"/>
    <w:rsid w:val="00715CC1"/>
    <w:rsid w:val="00716859"/>
    <w:rsid w:val="00717093"/>
    <w:rsid w:val="0071760B"/>
    <w:rsid w:val="007176C1"/>
    <w:rsid w:val="00720557"/>
    <w:rsid w:val="00721E29"/>
    <w:rsid w:val="0072300B"/>
    <w:rsid w:val="007249F3"/>
    <w:rsid w:val="00726A7C"/>
    <w:rsid w:val="00726EEC"/>
    <w:rsid w:val="007270A1"/>
    <w:rsid w:val="007305DF"/>
    <w:rsid w:val="00731EA1"/>
    <w:rsid w:val="00731F54"/>
    <w:rsid w:val="00732BC6"/>
    <w:rsid w:val="007339A1"/>
    <w:rsid w:val="00733B92"/>
    <w:rsid w:val="00734C2F"/>
    <w:rsid w:val="00734EE9"/>
    <w:rsid w:val="0073507E"/>
    <w:rsid w:val="007351DD"/>
    <w:rsid w:val="007352DA"/>
    <w:rsid w:val="007371E0"/>
    <w:rsid w:val="0073734A"/>
    <w:rsid w:val="007406D3"/>
    <w:rsid w:val="00741B59"/>
    <w:rsid w:val="00741ECE"/>
    <w:rsid w:val="00741FA9"/>
    <w:rsid w:val="0074214D"/>
    <w:rsid w:val="007425F7"/>
    <w:rsid w:val="00742F01"/>
    <w:rsid w:val="00743823"/>
    <w:rsid w:val="00744F3E"/>
    <w:rsid w:val="007454BA"/>
    <w:rsid w:val="0074557D"/>
    <w:rsid w:val="00745A61"/>
    <w:rsid w:val="0074617D"/>
    <w:rsid w:val="007518D1"/>
    <w:rsid w:val="00752153"/>
    <w:rsid w:val="0075358E"/>
    <w:rsid w:val="007563D9"/>
    <w:rsid w:val="00756E30"/>
    <w:rsid w:val="0075788B"/>
    <w:rsid w:val="0076055B"/>
    <w:rsid w:val="0076186F"/>
    <w:rsid w:val="00764D8A"/>
    <w:rsid w:val="00764DF0"/>
    <w:rsid w:val="00767D7A"/>
    <w:rsid w:val="0077147A"/>
    <w:rsid w:val="007715D1"/>
    <w:rsid w:val="007717A5"/>
    <w:rsid w:val="00771D2D"/>
    <w:rsid w:val="007730A9"/>
    <w:rsid w:val="00773386"/>
    <w:rsid w:val="007736F3"/>
    <w:rsid w:val="007750FD"/>
    <w:rsid w:val="007753DE"/>
    <w:rsid w:val="00775D09"/>
    <w:rsid w:val="0077782D"/>
    <w:rsid w:val="00780957"/>
    <w:rsid w:val="00781897"/>
    <w:rsid w:val="00781C71"/>
    <w:rsid w:val="00781F62"/>
    <w:rsid w:val="007834A7"/>
    <w:rsid w:val="007847CF"/>
    <w:rsid w:val="007864EF"/>
    <w:rsid w:val="00786DFB"/>
    <w:rsid w:val="00787E9E"/>
    <w:rsid w:val="007906AB"/>
    <w:rsid w:val="00790BF1"/>
    <w:rsid w:val="00791BEC"/>
    <w:rsid w:val="0079210C"/>
    <w:rsid w:val="00792F82"/>
    <w:rsid w:val="007932F9"/>
    <w:rsid w:val="007939B2"/>
    <w:rsid w:val="00795D8C"/>
    <w:rsid w:val="007964F7"/>
    <w:rsid w:val="00796736"/>
    <w:rsid w:val="0079784D"/>
    <w:rsid w:val="00797A37"/>
    <w:rsid w:val="007A1C92"/>
    <w:rsid w:val="007A2A59"/>
    <w:rsid w:val="007A4EF1"/>
    <w:rsid w:val="007A582E"/>
    <w:rsid w:val="007A74FB"/>
    <w:rsid w:val="007B084C"/>
    <w:rsid w:val="007B1BFA"/>
    <w:rsid w:val="007B21FE"/>
    <w:rsid w:val="007B6378"/>
    <w:rsid w:val="007B6491"/>
    <w:rsid w:val="007B699C"/>
    <w:rsid w:val="007B74CF"/>
    <w:rsid w:val="007C02BD"/>
    <w:rsid w:val="007C192C"/>
    <w:rsid w:val="007C2666"/>
    <w:rsid w:val="007C2D45"/>
    <w:rsid w:val="007C3776"/>
    <w:rsid w:val="007C39BC"/>
    <w:rsid w:val="007C3AAC"/>
    <w:rsid w:val="007C4825"/>
    <w:rsid w:val="007C722A"/>
    <w:rsid w:val="007C74C4"/>
    <w:rsid w:val="007C7DB2"/>
    <w:rsid w:val="007D0AB8"/>
    <w:rsid w:val="007D1EFE"/>
    <w:rsid w:val="007D243D"/>
    <w:rsid w:val="007D4334"/>
    <w:rsid w:val="007D445A"/>
    <w:rsid w:val="007D53E3"/>
    <w:rsid w:val="007D5442"/>
    <w:rsid w:val="007D6BB7"/>
    <w:rsid w:val="007E1845"/>
    <w:rsid w:val="007E2B3F"/>
    <w:rsid w:val="007E337A"/>
    <w:rsid w:val="007E33E8"/>
    <w:rsid w:val="007E3B6D"/>
    <w:rsid w:val="007E4CEF"/>
    <w:rsid w:val="007E4DB4"/>
    <w:rsid w:val="007E52BC"/>
    <w:rsid w:val="007E5682"/>
    <w:rsid w:val="007E6C73"/>
    <w:rsid w:val="007E7803"/>
    <w:rsid w:val="007F1057"/>
    <w:rsid w:val="007F14BD"/>
    <w:rsid w:val="007F1BE2"/>
    <w:rsid w:val="007F2126"/>
    <w:rsid w:val="007F2F3D"/>
    <w:rsid w:val="007F3C5B"/>
    <w:rsid w:val="007F48B0"/>
    <w:rsid w:val="007F5393"/>
    <w:rsid w:val="007F7957"/>
    <w:rsid w:val="008004E0"/>
    <w:rsid w:val="008004F6"/>
    <w:rsid w:val="00800696"/>
    <w:rsid w:val="00801CAE"/>
    <w:rsid w:val="00802233"/>
    <w:rsid w:val="00802854"/>
    <w:rsid w:val="00803B09"/>
    <w:rsid w:val="00804A36"/>
    <w:rsid w:val="00807197"/>
    <w:rsid w:val="00807A9E"/>
    <w:rsid w:val="00810B49"/>
    <w:rsid w:val="00810C44"/>
    <w:rsid w:val="0081263E"/>
    <w:rsid w:val="00812A65"/>
    <w:rsid w:val="00813FE7"/>
    <w:rsid w:val="008156B4"/>
    <w:rsid w:val="00820281"/>
    <w:rsid w:val="00820479"/>
    <w:rsid w:val="0082107B"/>
    <w:rsid w:val="0082370E"/>
    <w:rsid w:val="008239A7"/>
    <w:rsid w:val="00824495"/>
    <w:rsid w:val="0082518D"/>
    <w:rsid w:val="008254F1"/>
    <w:rsid w:val="0082566C"/>
    <w:rsid w:val="008265DE"/>
    <w:rsid w:val="0082663E"/>
    <w:rsid w:val="0082720F"/>
    <w:rsid w:val="00827B29"/>
    <w:rsid w:val="008301AD"/>
    <w:rsid w:val="00833D65"/>
    <w:rsid w:val="00833E63"/>
    <w:rsid w:val="00835459"/>
    <w:rsid w:val="008355CE"/>
    <w:rsid w:val="00836E19"/>
    <w:rsid w:val="00837186"/>
    <w:rsid w:val="00837FE0"/>
    <w:rsid w:val="008413A5"/>
    <w:rsid w:val="00841B97"/>
    <w:rsid w:val="0084402B"/>
    <w:rsid w:val="00844FDB"/>
    <w:rsid w:val="0084529B"/>
    <w:rsid w:val="00845359"/>
    <w:rsid w:val="0084540F"/>
    <w:rsid w:val="008462DC"/>
    <w:rsid w:val="0084679A"/>
    <w:rsid w:val="0085056A"/>
    <w:rsid w:val="008518CF"/>
    <w:rsid w:val="0085203C"/>
    <w:rsid w:val="00852DE5"/>
    <w:rsid w:val="0085353A"/>
    <w:rsid w:val="008543EA"/>
    <w:rsid w:val="00854B57"/>
    <w:rsid w:val="00855292"/>
    <w:rsid w:val="00855B29"/>
    <w:rsid w:val="008573CD"/>
    <w:rsid w:val="00857D67"/>
    <w:rsid w:val="00857F29"/>
    <w:rsid w:val="008606B9"/>
    <w:rsid w:val="00860BDC"/>
    <w:rsid w:val="008639DF"/>
    <w:rsid w:val="0086493F"/>
    <w:rsid w:val="00864AFB"/>
    <w:rsid w:val="008656E4"/>
    <w:rsid w:val="00865BCB"/>
    <w:rsid w:val="00865CCD"/>
    <w:rsid w:val="00866CFA"/>
    <w:rsid w:val="00871A45"/>
    <w:rsid w:val="00874B7C"/>
    <w:rsid w:val="0087684A"/>
    <w:rsid w:val="0087735D"/>
    <w:rsid w:val="00880F9E"/>
    <w:rsid w:val="008821DD"/>
    <w:rsid w:val="008829BA"/>
    <w:rsid w:val="00882EBD"/>
    <w:rsid w:val="00883B7F"/>
    <w:rsid w:val="00883E26"/>
    <w:rsid w:val="00884E4E"/>
    <w:rsid w:val="00886432"/>
    <w:rsid w:val="0088726B"/>
    <w:rsid w:val="00887B82"/>
    <w:rsid w:val="00887ED1"/>
    <w:rsid w:val="008916F1"/>
    <w:rsid w:val="0089484C"/>
    <w:rsid w:val="00896077"/>
    <w:rsid w:val="008963AB"/>
    <w:rsid w:val="008965E5"/>
    <w:rsid w:val="00897467"/>
    <w:rsid w:val="008A0EA6"/>
    <w:rsid w:val="008A218B"/>
    <w:rsid w:val="008A2697"/>
    <w:rsid w:val="008A2988"/>
    <w:rsid w:val="008A2D91"/>
    <w:rsid w:val="008A778F"/>
    <w:rsid w:val="008A7D44"/>
    <w:rsid w:val="008A7DCF"/>
    <w:rsid w:val="008B0D43"/>
    <w:rsid w:val="008B1429"/>
    <w:rsid w:val="008B1F24"/>
    <w:rsid w:val="008B267A"/>
    <w:rsid w:val="008B2C01"/>
    <w:rsid w:val="008B47E6"/>
    <w:rsid w:val="008B5A72"/>
    <w:rsid w:val="008B6FD7"/>
    <w:rsid w:val="008B7728"/>
    <w:rsid w:val="008C01FC"/>
    <w:rsid w:val="008C05DB"/>
    <w:rsid w:val="008C10FC"/>
    <w:rsid w:val="008C1858"/>
    <w:rsid w:val="008C27DE"/>
    <w:rsid w:val="008C2912"/>
    <w:rsid w:val="008C37C1"/>
    <w:rsid w:val="008C3D79"/>
    <w:rsid w:val="008C3EB8"/>
    <w:rsid w:val="008C41AD"/>
    <w:rsid w:val="008D02D4"/>
    <w:rsid w:val="008D0631"/>
    <w:rsid w:val="008D1A10"/>
    <w:rsid w:val="008D1D97"/>
    <w:rsid w:val="008D24E9"/>
    <w:rsid w:val="008D2A6D"/>
    <w:rsid w:val="008D3128"/>
    <w:rsid w:val="008D4583"/>
    <w:rsid w:val="008D4BA6"/>
    <w:rsid w:val="008D4D69"/>
    <w:rsid w:val="008D4F50"/>
    <w:rsid w:val="008D5DD1"/>
    <w:rsid w:val="008D6798"/>
    <w:rsid w:val="008D6ABF"/>
    <w:rsid w:val="008D77A7"/>
    <w:rsid w:val="008E07DE"/>
    <w:rsid w:val="008E21E5"/>
    <w:rsid w:val="008E30F9"/>
    <w:rsid w:val="008E6C02"/>
    <w:rsid w:val="008E6D8F"/>
    <w:rsid w:val="008F004D"/>
    <w:rsid w:val="008F1184"/>
    <w:rsid w:val="008F357B"/>
    <w:rsid w:val="008F3B14"/>
    <w:rsid w:val="008F51EC"/>
    <w:rsid w:val="008F5C73"/>
    <w:rsid w:val="008F663F"/>
    <w:rsid w:val="008F7094"/>
    <w:rsid w:val="009047E2"/>
    <w:rsid w:val="0090547A"/>
    <w:rsid w:val="00905B4A"/>
    <w:rsid w:val="00905D5C"/>
    <w:rsid w:val="0090676C"/>
    <w:rsid w:val="00907550"/>
    <w:rsid w:val="00907DA6"/>
    <w:rsid w:val="00907EF3"/>
    <w:rsid w:val="009122A6"/>
    <w:rsid w:val="0091299A"/>
    <w:rsid w:val="009147A6"/>
    <w:rsid w:val="00914E3A"/>
    <w:rsid w:val="00914EF3"/>
    <w:rsid w:val="009157F6"/>
    <w:rsid w:val="00915E61"/>
    <w:rsid w:val="00916B72"/>
    <w:rsid w:val="00916BEE"/>
    <w:rsid w:val="00917889"/>
    <w:rsid w:val="009238C7"/>
    <w:rsid w:val="00923FE4"/>
    <w:rsid w:val="00924017"/>
    <w:rsid w:val="00924BBE"/>
    <w:rsid w:val="00924D46"/>
    <w:rsid w:val="009258AB"/>
    <w:rsid w:val="009267BC"/>
    <w:rsid w:val="00931322"/>
    <w:rsid w:val="009314FB"/>
    <w:rsid w:val="00934FCE"/>
    <w:rsid w:val="0093619F"/>
    <w:rsid w:val="00936729"/>
    <w:rsid w:val="00936CAD"/>
    <w:rsid w:val="00937C9B"/>
    <w:rsid w:val="009412A1"/>
    <w:rsid w:val="00941D2A"/>
    <w:rsid w:val="009428C0"/>
    <w:rsid w:val="009435BE"/>
    <w:rsid w:val="009437FF"/>
    <w:rsid w:val="00944387"/>
    <w:rsid w:val="0094450F"/>
    <w:rsid w:val="0094467B"/>
    <w:rsid w:val="009452F9"/>
    <w:rsid w:val="009476BA"/>
    <w:rsid w:val="009479D3"/>
    <w:rsid w:val="00950930"/>
    <w:rsid w:val="009519BB"/>
    <w:rsid w:val="00951A5A"/>
    <w:rsid w:val="00951C9C"/>
    <w:rsid w:val="00953901"/>
    <w:rsid w:val="0095434F"/>
    <w:rsid w:val="009555ED"/>
    <w:rsid w:val="00955753"/>
    <w:rsid w:val="00955EA0"/>
    <w:rsid w:val="00956331"/>
    <w:rsid w:val="009577EF"/>
    <w:rsid w:val="00957C6B"/>
    <w:rsid w:val="0096049D"/>
    <w:rsid w:val="00964252"/>
    <w:rsid w:val="00964634"/>
    <w:rsid w:val="00964A4A"/>
    <w:rsid w:val="00964B0B"/>
    <w:rsid w:val="00964F06"/>
    <w:rsid w:val="009653E4"/>
    <w:rsid w:val="00965B1F"/>
    <w:rsid w:val="00970EE3"/>
    <w:rsid w:val="0097184B"/>
    <w:rsid w:val="009767CC"/>
    <w:rsid w:val="00977C4C"/>
    <w:rsid w:val="009800FA"/>
    <w:rsid w:val="00980973"/>
    <w:rsid w:val="009823F7"/>
    <w:rsid w:val="009828F8"/>
    <w:rsid w:val="00984295"/>
    <w:rsid w:val="00984C43"/>
    <w:rsid w:val="00984D47"/>
    <w:rsid w:val="00986127"/>
    <w:rsid w:val="00986665"/>
    <w:rsid w:val="00986DC1"/>
    <w:rsid w:val="0098751B"/>
    <w:rsid w:val="00987A19"/>
    <w:rsid w:val="00990ED2"/>
    <w:rsid w:val="009912D5"/>
    <w:rsid w:val="00993524"/>
    <w:rsid w:val="009960A0"/>
    <w:rsid w:val="009A0056"/>
    <w:rsid w:val="009A0BA5"/>
    <w:rsid w:val="009A157B"/>
    <w:rsid w:val="009A18A6"/>
    <w:rsid w:val="009A1AF0"/>
    <w:rsid w:val="009A20AD"/>
    <w:rsid w:val="009A22A4"/>
    <w:rsid w:val="009A23BC"/>
    <w:rsid w:val="009A318E"/>
    <w:rsid w:val="009A3193"/>
    <w:rsid w:val="009A31A3"/>
    <w:rsid w:val="009A3516"/>
    <w:rsid w:val="009A3C1D"/>
    <w:rsid w:val="009A4513"/>
    <w:rsid w:val="009A5194"/>
    <w:rsid w:val="009A60FF"/>
    <w:rsid w:val="009A64CD"/>
    <w:rsid w:val="009B159F"/>
    <w:rsid w:val="009B1EC4"/>
    <w:rsid w:val="009B21F7"/>
    <w:rsid w:val="009B305E"/>
    <w:rsid w:val="009B3107"/>
    <w:rsid w:val="009B3D19"/>
    <w:rsid w:val="009B4BE8"/>
    <w:rsid w:val="009B6D2C"/>
    <w:rsid w:val="009B72BB"/>
    <w:rsid w:val="009C0115"/>
    <w:rsid w:val="009C054A"/>
    <w:rsid w:val="009C0D41"/>
    <w:rsid w:val="009C205E"/>
    <w:rsid w:val="009C3459"/>
    <w:rsid w:val="009C4AE3"/>
    <w:rsid w:val="009C4F18"/>
    <w:rsid w:val="009C5A87"/>
    <w:rsid w:val="009C5D05"/>
    <w:rsid w:val="009C5E06"/>
    <w:rsid w:val="009D04F4"/>
    <w:rsid w:val="009D24F9"/>
    <w:rsid w:val="009D2605"/>
    <w:rsid w:val="009D3F2B"/>
    <w:rsid w:val="009D4393"/>
    <w:rsid w:val="009D5625"/>
    <w:rsid w:val="009D697D"/>
    <w:rsid w:val="009D69DC"/>
    <w:rsid w:val="009D7353"/>
    <w:rsid w:val="009E0EDC"/>
    <w:rsid w:val="009E1B2C"/>
    <w:rsid w:val="009E1FD2"/>
    <w:rsid w:val="009E2284"/>
    <w:rsid w:val="009E24BC"/>
    <w:rsid w:val="009E2891"/>
    <w:rsid w:val="009E3982"/>
    <w:rsid w:val="009E3B7F"/>
    <w:rsid w:val="009E4F7A"/>
    <w:rsid w:val="009E57DD"/>
    <w:rsid w:val="009E7A14"/>
    <w:rsid w:val="009F0366"/>
    <w:rsid w:val="009F0DFF"/>
    <w:rsid w:val="009F1480"/>
    <w:rsid w:val="009F2914"/>
    <w:rsid w:val="009F507B"/>
    <w:rsid w:val="009F584F"/>
    <w:rsid w:val="009F5E6B"/>
    <w:rsid w:val="009F65BB"/>
    <w:rsid w:val="009F667B"/>
    <w:rsid w:val="009F6F73"/>
    <w:rsid w:val="009F7AEE"/>
    <w:rsid w:val="00A002A5"/>
    <w:rsid w:val="00A00999"/>
    <w:rsid w:val="00A02634"/>
    <w:rsid w:val="00A0278F"/>
    <w:rsid w:val="00A0354D"/>
    <w:rsid w:val="00A03769"/>
    <w:rsid w:val="00A03E7B"/>
    <w:rsid w:val="00A04700"/>
    <w:rsid w:val="00A05DF7"/>
    <w:rsid w:val="00A065DE"/>
    <w:rsid w:val="00A067E6"/>
    <w:rsid w:val="00A1106F"/>
    <w:rsid w:val="00A11E31"/>
    <w:rsid w:val="00A123DC"/>
    <w:rsid w:val="00A12B2A"/>
    <w:rsid w:val="00A138AF"/>
    <w:rsid w:val="00A1492C"/>
    <w:rsid w:val="00A14CB2"/>
    <w:rsid w:val="00A15025"/>
    <w:rsid w:val="00A153BB"/>
    <w:rsid w:val="00A1570B"/>
    <w:rsid w:val="00A212D1"/>
    <w:rsid w:val="00A22F23"/>
    <w:rsid w:val="00A274B0"/>
    <w:rsid w:val="00A30E3F"/>
    <w:rsid w:val="00A33846"/>
    <w:rsid w:val="00A338B4"/>
    <w:rsid w:val="00A33E45"/>
    <w:rsid w:val="00A342D8"/>
    <w:rsid w:val="00A3565A"/>
    <w:rsid w:val="00A36893"/>
    <w:rsid w:val="00A3792E"/>
    <w:rsid w:val="00A37E70"/>
    <w:rsid w:val="00A4032D"/>
    <w:rsid w:val="00A40741"/>
    <w:rsid w:val="00A42991"/>
    <w:rsid w:val="00A42B59"/>
    <w:rsid w:val="00A43155"/>
    <w:rsid w:val="00A432B9"/>
    <w:rsid w:val="00A45214"/>
    <w:rsid w:val="00A45539"/>
    <w:rsid w:val="00A455E2"/>
    <w:rsid w:val="00A45812"/>
    <w:rsid w:val="00A46CB4"/>
    <w:rsid w:val="00A46EFF"/>
    <w:rsid w:val="00A5246F"/>
    <w:rsid w:val="00A53DEE"/>
    <w:rsid w:val="00A53F71"/>
    <w:rsid w:val="00A54302"/>
    <w:rsid w:val="00A54FA9"/>
    <w:rsid w:val="00A5577F"/>
    <w:rsid w:val="00A55C9D"/>
    <w:rsid w:val="00A570E2"/>
    <w:rsid w:val="00A5735A"/>
    <w:rsid w:val="00A57FFE"/>
    <w:rsid w:val="00A60DE0"/>
    <w:rsid w:val="00A61175"/>
    <w:rsid w:val="00A62806"/>
    <w:rsid w:val="00A634E6"/>
    <w:rsid w:val="00A63878"/>
    <w:rsid w:val="00A638B0"/>
    <w:rsid w:val="00A638B5"/>
    <w:rsid w:val="00A6394D"/>
    <w:rsid w:val="00A639C6"/>
    <w:rsid w:val="00A654DF"/>
    <w:rsid w:val="00A6593F"/>
    <w:rsid w:val="00A659BF"/>
    <w:rsid w:val="00A65C03"/>
    <w:rsid w:val="00A66534"/>
    <w:rsid w:val="00A66A30"/>
    <w:rsid w:val="00A70E06"/>
    <w:rsid w:val="00A737E4"/>
    <w:rsid w:val="00A73C39"/>
    <w:rsid w:val="00A75DE8"/>
    <w:rsid w:val="00A7698E"/>
    <w:rsid w:val="00A7707E"/>
    <w:rsid w:val="00A8072B"/>
    <w:rsid w:val="00A815A7"/>
    <w:rsid w:val="00A83E59"/>
    <w:rsid w:val="00A8427A"/>
    <w:rsid w:val="00A85AAF"/>
    <w:rsid w:val="00A85CB2"/>
    <w:rsid w:val="00A86143"/>
    <w:rsid w:val="00A8617E"/>
    <w:rsid w:val="00A86BAE"/>
    <w:rsid w:val="00A9184B"/>
    <w:rsid w:val="00A91AE2"/>
    <w:rsid w:val="00A91BAB"/>
    <w:rsid w:val="00A91F3D"/>
    <w:rsid w:val="00A92171"/>
    <w:rsid w:val="00A92181"/>
    <w:rsid w:val="00A9269D"/>
    <w:rsid w:val="00A93743"/>
    <w:rsid w:val="00A937AE"/>
    <w:rsid w:val="00A93A1E"/>
    <w:rsid w:val="00A951FA"/>
    <w:rsid w:val="00A9561F"/>
    <w:rsid w:val="00A96865"/>
    <w:rsid w:val="00AA0A8F"/>
    <w:rsid w:val="00AA0C1F"/>
    <w:rsid w:val="00AA363A"/>
    <w:rsid w:val="00AA4D11"/>
    <w:rsid w:val="00AA537F"/>
    <w:rsid w:val="00AA5AB0"/>
    <w:rsid w:val="00AA5D86"/>
    <w:rsid w:val="00AA64A5"/>
    <w:rsid w:val="00AA7BC5"/>
    <w:rsid w:val="00AB0AE7"/>
    <w:rsid w:val="00AB285E"/>
    <w:rsid w:val="00AB2B37"/>
    <w:rsid w:val="00AB3B10"/>
    <w:rsid w:val="00AB3F8D"/>
    <w:rsid w:val="00AB4453"/>
    <w:rsid w:val="00AB542D"/>
    <w:rsid w:val="00AB60D4"/>
    <w:rsid w:val="00AB7A6B"/>
    <w:rsid w:val="00AC0543"/>
    <w:rsid w:val="00AC1113"/>
    <w:rsid w:val="00AC1DE7"/>
    <w:rsid w:val="00AC2CF7"/>
    <w:rsid w:val="00AC35D1"/>
    <w:rsid w:val="00AC481B"/>
    <w:rsid w:val="00AC4F43"/>
    <w:rsid w:val="00AC69C2"/>
    <w:rsid w:val="00AC6C2D"/>
    <w:rsid w:val="00AC7832"/>
    <w:rsid w:val="00AD02EF"/>
    <w:rsid w:val="00AD14B5"/>
    <w:rsid w:val="00AD2C75"/>
    <w:rsid w:val="00AD495E"/>
    <w:rsid w:val="00AD5C2F"/>
    <w:rsid w:val="00AD7755"/>
    <w:rsid w:val="00AD79E9"/>
    <w:rsid w:val="00AD7D3C"/>
    <w:rsid w:val="00AE0925"/>
    <w:rsid w:val="00AE0CAE"/>
    <w:rsid w:val="00AE2ADB"/>
    <w:rsid w:val="00AE2B81"/>
    <w:rsid w:val="00AE3B30"/>
    <w:rsid w:val="00AE443A"/>
    <w:rsid w:val="00AE5C74"/>
    <w:rsid w:val="00AE727C"/>
    <w:rsid w:val="00AF19F8"/>
    <w:rsid w:val="00B0223B"/>
    <w:rsid w:val="00B02366"/>
    <w:rsid w:val="00B02375"/>
    <w:rsid w:val="00B0533D"/>
    <w:rsid w:val="00B05908"/>
    <w:rsid w:val="00B12CA8"/>
    <w:rsid w:val="00B138B0"/>
    <w:rsid w:val="00B1525A"/>
    <w:rsid w:val="00B16FC5"/>
    <w:rsid w:val="00B17E36"/>
    <w:rsid w:val="00B201D8"/>
    <w:rsid w:val="00B20368"/>
    <w:rsid w:val="00B22A8A"/>
    <w:rsid w:val="00B22E39"/>
    <w:rsid w:val="00B236C2"/>
    <w:rsid w:val="00B26195"/>
    <w:rsid w:val="00B2694A"/>
    <w:rsid w:val="00B27952"/>
    <w:rsid w:val="00B27A00"/>
    <w:rsid w:val="00B309CB"/>
    <w:rsid w:val="00B31F49"/>
    <w:rsid w:val="00B325C0"/>
    <w:rsid w:val="00B32E3A"/>
    <w:rsid w:val="00B33678"/>
    <w:rsid w:val="00B33856"/>
    <w:rsid w:val="00B338D4"/>
    <w:rsid w:val="00B34535"/>
    <w:rsid w:val="00B35253"/>
    <w:rsid w:val="00B35369"/>
    <w:rsid w:val="00B366BB"/>
    <w:rsid w:val="00B36AF0"/>
    <w:rsid w:val="00B37CBB"/>
    <w:rsid w:val="00B37DC8"/>
    <w:rsid w:val="00B37E50"/>
    <w:rsid w:val="00B40173"/>
    <w:rsid w:val="00B40635"/>
    <w:rsid w:val="00B42372"/>
    <w:rsid w:val="00B43C1F"/>
    <w:rsid w:val="00B4437E"/>
    <w:rsid w:val="00B45437"/>
    <w:rsid w:val="00B463B7"/>
    <w:rsid w:val="00B500BF"/>
    <w:rsid w:val="00B52445"/>
    <w:rsid w:val="00B52730"/>
    <w:rsid w:val="00B5336C"/>
    <w:rsid w:val="00B53B2C"/>
    <w:rsid w:val="00B53EAC"/>
    <w:rsid w:val="00B56F3D"/>
    <w:rsid w:val="00B5771F"/>
    <w:rsid w:val="00B6047A"/>
    <w:rsid w:val="00B605FD"/>
    <w:rsid w:val="00B624BD"/>
    <w:rsid w:val="00B66C30"/>
    <w:rsid w:val="00B7065D"/>
    <w:rsid w:val="00B70E89"/>
    <w:rsid w:val="00B718A1"/>
    <w:rsid w:val="00B71DF0"/>
    <w:rsid w:val="00B728BD"/>
    <w:rsid w:val="00B72ECB"/>
    <w:rsid w:val="00B73833"/>
    <w:rsid w:val="00B7454F"/>
    <w:rsid w:val="00B74B98"/>
    <w:rsid w:val="00B75DDC"/>
    <w:rsid w:val="00B765EA"/>
    <w:rsid w:val="00B76CEC"/>
    <w:rsid w:val="00B773D5"/>
    <w:rsid w:val="00B818DC"/>
    <w:rsid w:val="00B81CCE"/>
    <w:rsid w:val="00B83216"/>
    <w:rsid w:val="00B83C4D"/>
    <w:rsid w:val="00B841A4"/>
    <w:rsid w:val="00B86782"/>
    <w:rsid w:val="00B875E8"/>
    <w:rsid w:val="00B87A6E"/>
    <w:rsid w:val="00B910FA"/>
    <w:rsid w:val="00B91154"/>
    <w:rsid w:val="00B92E62"/>
    <w:rsid w:val="00B93967"/>
    <w:rsid w:val="00B9436C"/>
    <w:rsid w:val="00B94EAF"/>
    <w:rsid w:val="00B956DE"/>
    <w:rsid w:val="00B969DD"/>
    <w:rsid w:val="00B97171"/>
    <w:rsid w:val="00BA0326"/>
    <w:rsid w:val="00BA0A3A"/>
    <w:rsid w:val="00BA0B24"/>
    <w:rsid w:val="00BA13E7"/>
    <w:rsid w:val="00BA1A90"/>
    <w:rsid w:val="00BA2369"/>
    <w:rsid w:val="00BA301F"/>
    <w:rsid w:val="00BA4FC0"/>
    <w:rsid w:val="00BA6396"/>
    <w:rsid w:val="00BA6FF1"/>
    <w:rsid w:val="00BA7C5C"/>
    <w:rsid w:val="00BB0364"/>
    <w:rsid w:val="00BB1099"/>
    <w:rsid w:val="00BB1170"/>
    <w:rsid w:val="00BB165C"/>
    <w:rsid w:val="00BB16D7"/>
    <w:rsid w:val="00BB409A"/>
    <w:rsid w:val="00BB4954"/>
    <w:rsid w:val="00BB53E7"/>
    <w:rsid w:val="00BB5854"/>
    <w:rsid w:val="00BC02EE"/>
    <w:rsid w:val="00BC0B50"/>
    <w:rsid w:val="00BC2EA6"/>
    <w:rsid w:val="00BC4788"/>
    <w:rsid w:val="00BC4F85"/>
    <w:rsid w:val="00BC74ED"/>
    <w:rsid w:val="00BD078E"/>
    <w:rsid w:val="00BD2983"/>
    <w:rsid w:val="00BD2A23"/>
    <w:rsid w:val="00BD3219"/>
    <w:rsid w:val="00BD3E98"/>
    <w:rsid w:val="00BD4ADC"/>
    <w:rsid w:val="00BD71A0"/>
    <w:rsid w:val="00BE0B36"/>
    <w:rsid w:val="00BE0B59"/>
    <w:rsid w:val="00BE0B92"/>
    <w:rsid w:val="00BE3A0E"/>
    <w:rsid w:val="00BE4503"/>
    <w:rsid w:val="00BE4DFD"/>
    <w:rsid w:val="00BE4E66"/>
    <w:rsid w:val="00BE56F9"/>
    <w:rsid w:val="00BE5E4F"/>
    <w:rsid w:val="00BE6EFC"/>
    <w:rsid w:val="00BF02FC"/>
    <w:rsid w:val="00BF36F9"/>
    <w:rsid w:val="00BF43BE"/>
    <w:rsid w:val="00BF59D1"/>
    <w:rsid w:val="00BF6B46"/>
    <w:rsid w:val="00C0088B"/>
    <w:rsid w:val="00C04190"/>
    <w:rsid w:val="00C04B9B"/>
    <w:rsid w:val="00C128BA"/>
    <w:rsid w:val="00C12CA9"/>
    <w:rsid w:val="00C145F6"/>
    <w:rsid w:val="00C148EF"/>
    <w:rsid w:val="00C15730"/>
    <w:rsid w:val="00C15CEA"/>
    <w:rsid w:val="00C17D57"/>
    <w:rsid w:val="00C21960"/>
    <w:rsid w:val="00C23E36"/>
    <w:rsid w:val="00C24252"/>
    <w:rsid w:val="00C26298"/>
    <w:rsid w:val="00C264DC"/>
    <w:rsid w:val="00C307B5"/>
    <w:rsid w:val="00C30AE6"/>
    <w:rsid w:val="00C314BF"/>
    <w:rsid w:val="00C33749"/>
    <w:rsid w:val="00C33A69"/>
    <w:rsid w:val="00C344C1"/>
    <w:rsid w:val="00C34B9A"/>
    <w:rsid w:val="00C367C2"/>
    <w:rsid w:val="00C3758E"/>
    <w:rsid w:val="00C40666"/>
    <w:rsid w:val="00C4090F"/>
    <w:rsid w:val="00C413B3"/>
    <w:rsid w:val="00C44686"/>
    <w:rsid w:val="00C45A1D"/>
    <w:rsid w:val="00C460E6"/>
    <w:rsid w:val="00C479E9"/>
    <w:rsid w:val="00C526C3"/>
    <w:rsid w:val="00C53648"/>
    <w:rsid w:val="00C55DBA"/>
    <w:rsid w:val="00C57E92"/>
    <w:rsid w:val="00C6032A"/>
    <w:rsid w:val="00C607E3"/>
    <w:rsid w:val="00C60CE3"/>
    <w:rsid w:val="00C6232B"/>
    <w:rsid w:val="00C63F11"/>
    <w:rsid w:val="00C66A21"/>
    <w:rsid w:val="00C66C8C"/>
    <w:rsid w:val="00C70D2D"/>
    <w:rsid w:val="00C7146E"/>
    <w:rsid w:val="00C7343F"/>
    <w:rsid w:val="00C735A0"/>
    <w:rsid w:val="00C7368C"/>
    <w:rsid w:val="00C74951"/>
    <w:rsid w:val="00C7500B"/>
    <w:rsid w:val="00C753BE"/>
    <w:rsid w:val="00C8006E"/>
    <w:rsid w:val="00C8039A"/>
    <w:rsid w:val="00C80FBF"/>
    <w:rsid w:val="00C84551"/>
    <w:rsid w:val="00C84970"/>
    <w:rsid w:val="00C85B27"/>
    <w:rsid w:val="00C86CFC"/>
    <w:rsid w:val="00C91B99"/>
    <w:rsid w:val="00C926E7"/>
    <w:rsid w:val="00C93129"/>
    <w:rsid w:val="00C93EB7"/>
    <w:rsid w:val="00C941B4"/>
    <w:rsid w:val="00C94352"/>
    <w:rsid w:val="00C969D9"/>
    <w:rsid w:val="00C97ED4"/>
    <w:rsid w:val="00C97F62"/>
    <w:rsid w:val="00CA2909"/>
    <w:rsid w:val="00CA366F"/>
    <w:rsid w:val="00CA42C4"/>
    <w:rsid w:val="00CA4340"/>
    <w:rsid w:val="00CA4833"/>
    <w:rsid w:val="00CA4964"/>
    <w:rsid w:val="00CB2886"/>
    <w:rsid w:val="00CB2CA1"/>
    <w:rsid w:val="00CB3013"/>
    <w:rsid w:val="00CB36EB"/>
    <w:rsid w:val="00CB3AB5"/>
    <w:rsid w:val="00CB5597"/>
    <w:rsid w:val="00CB5982"/>
    <w:rsid w:val="00CB61CA"/>
    <w:rsid w:val="00CB6ED4"/>
    <w:rsid w:val="00CB726C"/>
    <w:rsid w:val="00CC0D80"/>
    <w:rsid w:val="00CC1DB3"/>
    <w:rsid w:val="00CC225C"/>
    <w:rsid w:val="00CC6DFB"/>
    <w:rsid w:val="00CC72F3"/>
    <w:rsid w:val="00CD0415"/>
    <w:rsid w:val="00CD1828"/>
    <w:rsid w:val="00CD319E"/>
    <w:rsid w:val="00CD3505"/>
    <w:rsid w:val="00CD36F8"/>
    <w:rsid w:val="00CD419E"/>
    <w:rsid w:val="00CD55F0"/>
    <w:rsid w:val="00CD66D1"/>
    <w:rsid w:val="00CD7856"/>
    <w:rsid w:val="00CE1442"/>
    <w:rsid w:val="00CE17F4"/>
    <w:rsid w:val="00CE196A"/>
    <w:rsid w:val="00CE2706"/>
    <w:rsid w:val="00CE2BCF"/>
    <w:rsid w:val="00CE55EC"/>
    <w:rsid w:val="00CE5B09"/>
    <w:rsid w:val="00CE63C9"/>
    <w:rsid w:val="00CE6F5F"/>
    <w:rsid w:val="00CE7950"/>
    <w:rsid w:val="00CF14D3"/>
    <w:rsid w:val="00CF1882"/>
    <w:rsid w:val="00CF18C8"/>
    <w:rsid w:val="00CF1BEE"/>
    <w:rsid w:val="00CF1DB7"/>
    <w:rsid w:val="00CF2054"/>
    <w:rsid w:val="00CF246C"/>
    <w:rsid w:val="00CF2CDE"/>
    <w:rsid w:val="00CF344F"/>
    <w:rsid w:val="00CF379D"/>
    <w:rsid w:val="00CF45B4"/>
    <w:rsid w:val="00CF6AD7"/>
    <w:rsid w:val="00CF7AF1"/>
    <w:rsid w:val="00CF7F27"/>
    <w:rsid w:val="00D01FFA"/>
    <w:rsid w:val="00D059B4"/>
    <w:rsid w:val="00D0728A"/>
    <w:rsid w:val="00D076AE"/>
    <w:rsid w:val="00D07CBB"/>
    <w:rsid w:val="00D12520"/>
    <w:rsid w:val="00D12E1C"/>
    <w:rsid w:val="00D1396F"/>
    <w:rsid w:val="00D14051"/>
    <w:rsid w:val="00D14525"/>
    <w:rsid w:val="00D15DC1"/>
    <w:rsid w:val="00D16040"/>
    <w:rsid w:val="00D1670A"/>
    <w:rsid w:val="00D17C74"/>
    <w:rsid w:val="00D20B67"/>
    <w:rsid w:val="00D237C7"/>
    <w:rsid w:val="00D24195"/>
    <w:rsid w:val="00D2449B"/>
    <w:rsid w:val="00D25D0B"/>
    <w:rsid w:val="00D26999"/>
    <w:rsid w:val="00D311C2"/>
    <w:rsid w:val="00D3122C"/>
    <w:rsid w:val="00D318AA"/>
    <w:rsid w:val="00D3323C"/>
    <w:rsid w:val="00D360EF"/>
    <w:rsid w:val="00D37C2C"/>
    <w:rsid w:val="00D40B99"/>
    <w:rsid w:val="00D425C1"/>
    <w:rsid w:val="00D431C5"/>
    <w:rsid w:val="00D4326F"/>
    <w:rsid w:val="00D43E8D"/>
    <w:rsid w:val="00D43F4C"/>
    <w:rsid w:val="00D4416B"/>
    <w:rsid w:val="00D446A0"/>
    <w:rsid w:val="00D4522D"/>
    <w:rsid w:val="00D4705C"/>
    <w:rsid w:val="00D47D21"/>
    <w:rsid w:val="00D50215"/>
    <w:rsid w:val="00D507BB"/>
    <w:rsid w:val="00D50CB3"/>
    <w:rsid w:val="00D5161C"/>
    <w:rsid w:val="00D5192D"/>
    <w:rsid w:val="00D52436"/>
    <w:rsid w:val="00D52C8D"/>
    <w:rsid w:val="00D52D69"/>
    <w:rsid w:val="00D52EBA"/>
    <w:rsid w:val="00D53B88"/>
    <w:rsid w:val="00D545F3"/>
    <w:rsid w:val="00D5588C"/>
    <w:rsid w:val="00D55A80"/>
    <w:rsid w:val="00D564E0"/>
    <w:rsid w:val="00D56A93"/>
    <w:rsid w:val="00D57592"/>
    <w:rsid w:val="00D576CD"/>
    <w:rsid w:val="00D5774D"/>
    <w:rsid w:val="00D62D7F"/>
    <w:rsid w:val="00D636A9"/>
    <w:rsid w:val="00D64FCD"/>
    <w:rsid w:val="00D658C5"/>
    <w:rsid w:val="00D71A0E"/>
    <w:rsid w:val="00D71C73"/>
    <w:rsid w:val="00D725C2"/>
    <w:rsid w:val="00D74DD0"/>
    <w:rsid w:val="00D75F7B"/>
    <w:rsid w:val="00D80AA5"/>
    <w:rsid w:val="00D813E9"/>
    <w:rsid w:val="00D86A27"/>
    <w:rsid w:val="00D87301"/>
    <w:rsid w:val="00D904D5"/>
    <w:rsid w:val="00D9180F"/>
    <w:rsid w:val="00D91EB8"/>
    <w:rsid w:val="00D92C01"/>
    <w:rsid w:val="00D94896"/>
    <w:rsid w:val="00D94D34"/>
    <w:rsid w:val="00D95C63"/>
    <w:rsid w:val="00D9673E"/>
    <w:rsid w:val="00D96CD7"/>
    <w:rsid w:val="00D97345"/>
    <w:rsid w:val="00DA02ED"/>
    <w:rsid w:val="00DA15D8"/>
    <w:rsid w:val="00DA260D"/>
    <w:rsid w:val="00DA2615"/>
    <w:rsid w:val="00DA37AF"/>
    <w:rsid w:val="00DA3822"/>
    <w:rsid w:val="00DA59FF"/>
    <w:rsid w:val="00DA6EA1"/>
    <w:rsid w:val="00DA73B6"/>
    <w:rsid w:val="00DB0254"/>
    <w:rsid w:val="00DB15BF"/>
    <w:rsid w:val="00DB2084"/>
    <w:rsid w:val="00DB4B2A"/>
    <w:rsid w:val="00DB4F7E"/>
    <w:rsid w:val="00DB60EA"/>
    <w:rsid w:val="00DB6A51"/>
    <w:rsid w:val="00DB7097"/>
    <w:rsid w:val="00DC03DB"/>
    <w:rsid w:val="00DC0ACA"/>
    <w:rsid w:val="00DC2CDA"/>
    <w:rsid w:val="00DC3A63"/>
    <w:rsid w:val="00DC5608"/>
    <w:rsid w:val="00DC5A45"/>
    <w:rsid w:val="00DC6072"/>
    <w:rsid w:val="00DC692E"/>
    <w:rsid w:val="00DD0417"/>
    <w:rsid w:val="00DD130C"/>
    <w:rsid w:val="00DD2DE8"/>
    <w:rsid w:val="00DD2F73"/>
    <w:rsid w:val="00DD317D"/>
    <w:rsid w:val="00DD3BE2"/>
    <w:rsid w:val="00DD40E5"/>
    <w:rsid w:val="00DD516C"/>
    <w:rsid w:val="00DE012C"/>
    <w:rsid w:val="00DE1C93"/>
    <w:rsid w:val="00DE1CDC"/>
    <w:rsid w:val="00DE3F3C"/>
    <w:rsid w:val="00DE4B83"/>
    <w:rsid w:val="00DE6003"/>
    <w:rsid w:val="00DE6EF3"/>
    <w:rsid w:val="00DE7ED7"/>
    <w:rsid w:val="00DF0B63"/>
    <w:rsid w:val="00DF0EAF"/>
    <w:rsid w:val="00DF2269"/>
    <w:rsid w:val="00DF2EF4"/>
    <w:rsid w:val="00DF2F99"/>
    <w:rsid w:val="00DF36A8"/>
    <w:rsid w:val="00DF3795"/>
    <w:rsid w:val="00DF41FB"/>
    <w:rsid w:val="00DF4D50"/>
    <w:rsid w:val="00DF5942"/>
    <w:rsid w:val="00DF62D9"/>
    <w:rsid w:val="00DF65B5"/>
    <w:rsid w:val="00DF68FB"/>
    <w:rsid w:val="00DF6AF4"/>
    <w:rsid w:val="00DF6B02"/>
    <w:rsid w:val="00DF7482"/>
    <w:rsid w:val="00DF74D6"/>
    <w:rsid w:val="00E012F1"/>
    <w:rsid w:val="00E01DBC"/>
    <w:rsid w:val="00E024A5"/>
    <w:rsid w:val="00E03FB7"/>
    <w:rsid w:val="00E061E2"/>
    <w:rsid w:val="00E07D1F"/>
    <w:rsid w:val="00E1294F"/>
    <w:rsid w:val="00E12D81"/>
    <w:rsid w:val="00E13D20"/>
    <w:rsid w:val="00E155C7"/>
    <w:rsid w:val="00E162F8"/>
    <w:rsid w:val="00E176F9"/>
    <w:rsid w:val="00E205F0"/>
    <w:rsid w:val="00E21233"/>
    <w:rsid w:val="00E2136E"/>
    <w:rsid w:val="00E23B03"/>
    <w:rsid w:val="00E23B31"/>
    <w:rsid w:val="00E255AF"/>
    <w:rsid w:val="00E258A1"/>
    <w:rsid w:val="00E272E7"/>
    <w:rsid w:val="00E3506A"/>
    <w:rsid w:val="00E36264"/>
    <w:rsid w:val="00E36FD5"/>
    <w:rsid w:val="00E36FF5"/>
    <w:rsid w:val="00E3754B"/>
    <w:rsid w:val="00E37720"/>
    <w:rsid w:val="00E37F44"/>
    <w:rsid w:val="00E37F89"/>
    <w:rsid w:val="00E405EE"/>
    <w:rsid w:val="00E40C64"/>
    <w:rsid w:val="00E4182C"/>
    <w:rsid w:val="00E4326F"/>
    <w:rsid w:val="00E44688"/>
    <w:rsid w:val="00E47D3F"/>
    <w:rsid w:val="00E47E7B"/>
    <w:rsid w:val="00E509BF"/>
    <w:rsid w:val="00E53137"/>
    <w:rsid w:val="00E531D7"/>
    <w:rsid w:val="00E532B7"/>
    <w:rsid w:val="00E532CA"/>
    <w:rsid w:val="00E5332D"/>
    <w:rsid w:val="00E5357C"/>
    <w:rsid w:val="00E54EEB"/>
    <w:rsid w:val="00E55275"/>
    <w:rsid w:val="00E56971"/>
    <w:rsid w:val="00E56D0C"/>
    <w:rsid w:val="00E5769D"/>
    <w:rsid w:val="00E57759"/>
    <w:rsid w:val="00E57C00"/>
    <w:rsid w:val="00E6138C"/>
    <w:rsid w:val="00E62367"/>
    <w:rsid w:val="00E640F4"/>
    <w:rsid w:val="00E663F5"/>
    <w:rsid w:val="00E669F2"/>
    <w:rsid w:val="00E66E2E"/>
    <w:rsid w:val="00E670D5"/>
    <w:rsid w:val="00E676BE"/>
    <w:rsid w:val="00E67E24"/>
    <w:rsid w:val="00E70B90"/>
    <w:rsid w:val="00E7113B"/>
    <w:rsid w:val="00E71FE5"/>
    <w:rsid w:val="00E74222"/>
    <w:rsid w:val="00E75954"/>
    <w:rsid w:val="00E76FB7"/>
    <w:rsid w:val="00E8027F"/>
    <w:rsid w:val="00E80AEA"/>
    <w:rsid w:val="00E8327E"/>
    <w:rsid w:val="00E83472"/>
    <w:rsid w:val="00E8447B"/>
    <w:rsid w:val="00E84C8A"/>
    <w:rsid w:val="00E86FE2"/>
    <w:rsid w:val="00E87691"/>
    <w:rsid w:val="00E87CC8"/>
    <w:rsid w:val="00E917CC"/>
    <w:rsid w:val="00E91802"/>
    <w:rsid w:val="00E91CD9"/>
    <w:rsid w:val="00E94610"/>
    <w:rsid w:val="00E95790"/>
    <w:rsid w:val="00E95EE0"/>
    <w:rsid w:val="00E963FE"/>
    <w:rsid w:val="00E971FA"/>
    <w:rsid w:val="00E976BA"/>
    <w:rsid w:val="00EA00DF"/>
    <w:rsid w:val="00EA053A"/>
    <w:rsid w:val="00EA0A3A"/>
    <w:rsid w:val="00EA115C"/>
    <w:rsid w:val="00EA1AA8"/>
    <w:rsid w:val="00EA1BBB"/>
    <w:rsid w:val="00EA2B64"/>
    <w:rsid w:val="00EA3A0A"/>
    <w:rsid w:val="00EA3FCA"/>
    <w:rsid w:val="00EA4C5B"/>
    <w:rsid w:val="00EA4C7B"/>
    <w:rsid w:val="00EA4DD3"/>
    <w:rsid w:val="00EA50E9"/>
    <w:rsid w:val="00EA5194"/>
    <w:rsid w:val="00EB23F6"/>
    <w:rsid w:val="00EB31EA"/>
    <w:rsid w:val="00EB32DF"/>
    <w:rsid w:val="00EB3802"/>
    <w:rsid w:val="00EB5789"/>
    <w:rsid w:val="00EB7198"/>
    <w:rsid w:val="00EC1AA6"/>
    <w:rsid w:val="00EC30C6"/>
    <w:rsid w:val="00EC442D"/>
    <w:rsid w:val="00EC4456"/>
    <w:rsid w:val="00EC59B2"/>
    <w:rsid w:val="00EC60DE"/>
    <w:rsid w:val="00EC68B3"/>
    <w:rsid w:val="00EC7660"/>
    <w:rsid w:val="00ED2C68"/>
    <w:rsid w:val="00ED50CD"/>
    <w:rsid w:val="00ED55D6"/>
    <w:rsid w:val="00ED5FF2"/>
    <w:rsid w:val="00ED6BF1"/>
    <w:rsid w:val="00ED7FB1"/>
    <w:rsid w:val="00EE0457"/>
    <w:rsid w:val="00EE0F1C"/>
    <w:rsid w:val="00EE1665"/>
    <w:rsid w:val="00EE1EB2"/>
    <w:rsid w:val="00EE229B"/>
    <w:rsid w:val="00EE2696"/>
    <w:rsid w:val="00EE31B4"/>
    <w:rsid w:val="00EE3BA3"/>
    <w:rsid w:val="00EE4089"/>
    <w:rsid w:val="00EE46C4"/>
    <w:rsid w:val="00EE4A96"/>
    <w:rsid w:val="00EE5584"/>
    <w:rsid w:val="00EE6845"/>
    <w:rsid w:val="00EE7C4C"/>
    <w:rsid w:val="00EE7FEF"/>
    <w:rsid w:val="00EF0591"/>
    <w:rsid w:val="00EF1A71"/>
    <w:rsid w:val="00EF33F2"/>
    <w:rsid w:val="00EF3988"/>
    <w:rsid w:val="00EF4277"/>
    <w:rsid w:val="00EF45A7"/>
    <w:rsid w:val="00EF4964"/>
    <w:rsid w:val="00EF6A3E"/>
    <w:rsid w:val="00EF6B39"/>
    <w:rsid w:val="00EF6CA2"/>
    <w:rsid w:val="00EF7EF2"/>
    <w:rsid w:val="00F0092A"/>
    <w:rsid w:val="00F0121C"/>
    <w:rsid w:val="00F02795"/>
    <w:rsid w:val="00F03E46"/>
    <w:rsid w:val="00F056BE"/>
    <w:rsid w:val="00F06174"/>
    <w:rsid w:val="00F064F1"/>
    <w:rsid w:val="00F06BAA"/>
    <w:rsid w:val="00F10329"/>
    <w:rsid w:val="00F1203D"/>
    <w:rsid w:val="00F13A79"/>
    <w:rsid w:val="00F13D25"/>
    <w:rsid w:val="00F14A21"/>
    <w:rsid w:val="00F14D37"/>
    <w:rsid w:val="00F1588C"/>
    <w:rsid w:val="00F17248"/>
    <w:rsid w:val="00F1733B"/>
    <w:rsid w:val="00F17A9B"/>
    <w:rsid w:val="00F20D4B"/>
    <w:rsid w:val="00F21CAD"/>
    <w:rsid w:val="00F21F08"/>
    <w:rsid w:val="00F2201E"/>
    <w:rsid w:val="00F230CD"/>
    <w:rsid w:val="00F24A07"/>
    <w:rsid w:val="00F24EE6"/>
    <w:rsid w:val="00F252BD"/>
    <w:rsid w:val="00F25C2F"/>
    <w:rsid w:val="00F301B3"/>
    <w:rsid w:val="00F30298"/>
    <w:rsid w:val="00F30575"/>
    <w:rsid w:val="00F30DB0"/>
    <w:rsid w:val="00F31608"/>
    <w:rsid w:val="00F31D5D"/>
    <w:rsid w:val="00F31E86"/>
    <w:rsid w:val="00F32D50"/>
    <w:rsid w:val="00F33A23"/>
    <w:rsid w:val="00F33B1F"/>
    <w:rsid w:val="00F35283"/>
    <w:rsid w:val="00F3648D"/>
    <w:rsid w:val="00F376AF"/>
    <w:rsid w:val="00F40BA2"/>
    <w:rsid w:val="00F412AB"/>
    <w:rsid w:val="00F4191B"/>
    <w:rsid w:val="00F428ED"/>
    <w:rsid w:val="00F42B52"/>
    <w:rsid w:val="00F437DD"/>
    <w:rsid w:val="00F4394E"/>
    <w:rsid w:val="00F43BA3"/>
    <w:rsid w:val="00F453DB"/>
    <w:rsid w:val="00F45EBF"/>
    <w:rsid w:val="00F45F25"/>
    <w:rsid w:val="00F46988"/>
    <w:rsid w:val="00F46B60"/>
    <w:rsid w:val="00F47394"/>
    <w:rsid w:val="00F47F41"/>
    <w:rsid w:val="00F5099E"/>
    <w:rsid w:val="00F509E3"/>
    <w:rsid w:val="00F515C9"/>
    <w:rsid w:val="00F5184F"/>
    <w:rsid w:val="00F52ED0"/>
    <w:rsid w:val="00F53578"/>
    <w:rsid w:val="00F54547"/>
    <w:rsid w:val="00F547BE"/>
    <w:rsid w:val="00F54F8D"/>
    <w:rsid w:val="00F55BB5"/>
    <w:rsid w:val="00F61149"/>
    <w:rsid w:val="00F6141F"/>
    <w:rsid w:val="00F61D7B"/>
    <w:rsid w:val="00F64110"/>
    <w:rsid w:val="00F64597"/>
    <w:rsid w:val="00F646B9"/>
    <w:rsid w:val="00F64DF5"/>
    <w:rsid w:val="00F654EB"/>
    <w:rsid w:val="00F66F00"/>
    <w:rsid w:val="00F67451"/>
    <w:rsid w:val="00F67C84"/>
    <w:rsid w:val="00F67F82"/>
    <w:rsid w:val="00F708A7"/>
    <w:rsid w:val="00F7104E"/>
    <w:rsid w:val="00F710B5"/>
    <w:rsid w:val="00F718E7"/>
    <w:rsid w:val="00F719EE"/>
    <w:rsid w:val="00F7221C"/>
    <w:rsid w:val="00F727AB"/>
    <w:rsid w:val="00F727E2"/>
    <w:rsid w:val="00F73B53"/>
    <w:rsid w:val="00F74550"/>
    <w:rsid w:val="00F7593C"/>
    <w:rsid w:val="00F762E2"/>
    <w:rsid w:val="00F803EF"/>
    <w:rsid w:val="00F8089D"/>
    <w:rsid w:val="00F80D7B"/>
    <w:rsid w:val="00F8187C"/>
    <w:rsid w:val="00F828EB"/>
    <w:rsid w:val="00F82DF0"/>
    <w:rsid w:val="00F85A05"/>
    <w:rsid w:val="00F871DC"/>
    <w:rsid w:val="00F905F4"/>
    <w:rsid w:val="00F9199B"/>
    <w:rsid w:val="00F91DFB"/>
    <w:rsid w:val="00F929EE"/>
    <w:rsid w:val="00F9377A"/>
    <w:rsid w:val="00F941D1"/>
    <w:rsid w:val="00F94686"/>
    <w:rsid w:val="00F94823"/>
    <w:rsid w:val="00F95CD5"/>
    <w:rsid w:val="00F9656F"/>
    <w:rsid w:val="00F979BE"/>
    <w:rsid w:val="00F97ED2"/>
    <w:rsid w:val="00FA226D"/>
    <w:rsid w:val="00FA2C35"/>
    <w:rsid w:val="00FA3579"/>
    <w:rsid w:val="00FA3F13"/>
    <w:rsid w:val="00FA4F55"/>
    <w:rsid w:val="00FA6DBB"/>
    <w:rsid w:val="00FA7114"/>
    <w:rsid w:val="00FA746B"/>
    <w:rsid w:val="00FA7876"/>
    <w:rsid w:val="00FB0A07"/>
    <w:rsid w:val="00FB16E6"/>
    <w:rsid w:val="00FB2539"/>
    <w:rsid w:val="00FB2BC3"/>
    <w:rsid w:val="00FB4E1A"/>
    <w:rsid w:val="00FB524D"/>
    <w:rsid w:val="00FB697B"/>
    <w:rsid w:val="00FB7112"/>
    <w:rsid w:val="00FC0BE3"/>
    <w:rsid w:val="00FC0C79"/>
    <w:rsid w:val="00FC0D5B"/>
    <w:rsid w:val="00FC0E87"/>
    <w:rsid w:val="00FC1913"/>
    <w:rsid w:val="00FC2680"/>
    <w:rsid w:val="00FC47E3"/>
    <w:rsid w:val="00FC51E7"/>
    <w:rsid w:val="00FC571B"/>
    <w:rsid w:val="00FC7175"/>
    <w:rsid w:val="00FC7677"/>
    <w:rsid w:val="00FC78F5"/>
    <w:rsid w:val="00FC7EDE"/>
    <w:rsid w:val="00FD0215"/>
    <w:rsid w:val="00FD2A64"/>
    <w:rsid w:val="00FD2DA9"/>
    <w:rsid w:val="00FD2FA5"/>
    <w:rsid w:val="00FD3815"/>
    <w:rsid w:val="00FD4E01"/>
    <w:rsid w:val="00FD5530"/>
    <w:rsid w:val="00FD6647"/>
    <w:rsid w:val="00FD6EBA"/>
    <w:rsid w:val="00FD6F21"/>
    <w:rsid w:val="00FE013D"/>
    <w:rsid w:val="00FE041C"/>
    <w:rsid w:val="00FE1F18"/>
    <w:rsid w:val="00FE282C"/>
    <w:rsid w:val="00FE2D1B"/>
    <w:rsid w:val="00FE4626"/>
    <w:rsid w:val="00FE5E2E"/>
    <w:rsid w:val="00FE76CC"/>
    <w:rsid w:val="00FF0058"/>
    <w:rsid w:val="00FF29E2"/>
    <w:rsid w:val="00FF3C08"/>
    <w:rsid w:val="00FF74B8"/>
    <w:rsid w:val="00FF77EC"/>
    <w:rsid w:val="09241E8E"/>
    <w:rsid w:val="0F262DE9"/>
    <w:rsid w:val="147E08F8"/>
    <w:rsid w:val="18356337"/>
    <w:rsid w:val="19E7558B"/>
    <w:rsid w:val="1DB22149"/>
    <w:rsid w:val="23106D12"/>
    <w:rsid w:val="24FC05D4"/>
    <w:rsid w:val="2B052A54"/>
    <w:rsid w:val="2FF930D7"/>
    <w:rsid w:val="30332785"/>
    <w:rsid w:val="3A127D55"/>
    <w:rsid w:val="3CDD0A74"/>
    <w:rsid w:val="45754AD8"/>
    <w:rsid w:val="523555EC"/>
    <w:rsid w:val="54CA68AA"/>
    <w:rsid w:val="57FE44E2"/>
    <w:rsid w:val="58494A2A"/>
    <w:rsid w:val="585B4DA1"/>
    <w:rsid w:val="5ACD7484"/>
    <w:rsid w:val="5D314189"/>
    <w:rsid w:val="5D6B1052"/>
    <w:rsid w:val="5E255D75"/>
    <w:rsid w:val="620F2070"/>
    <w:rsid w:val="683A638D"/>
    <w:rsid w:val="6EF45830"/>
    <w:rsid w:val="6FE3D64D"/>
    <w:rsid w:val="7004553D"/>
    <w:rsid w:val="75F4025B"/>
    <w:rsid w:val="764549E8"/>
    <w:rsid w:val="7DF115AC"/>
    <w:rsid w:val="B7EF7D2B"/>
    <w:rsid w:val="CFFE40FF"/>
    <w:rsid w:val="F9459300"/>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qFormat="1" w:unhideWhenUsed="0" w:uiPriority="0" w:semiHidden="0" w:name="Normal Indent"/>
    <w:lsdException w:uiPriority="0" w:name="footnote text"/>
    <w:lsdException w:qFormat="1" w:unhideWhenUsed="0" w:uiPriority="0" w:name="annotation text"/>
    <w:lsdException w:qFormat="1" w:unhideWhenUsed="0" w:uiPriority="99" w:semiHidden="0" w:name="header"/>
    <w:lsdException w:qFormat="1" w:unhideWhenUsed="0" w:uiPriority="0" w:semiHidden="0" w:name="footer"/>
    <w:lsdException w:uiPriority="0" w:name="index heading"/>
    <w:lsdException w:qFormat="1" w:unhideWhenUsed="0" w:uiPriority="0" w:semiHidden="0" w:name="caption"/>
    <w:lsdException w:qFormat="1" w:unhideWhenUsed="0" w:uiPriority="0" w:name="table of figures"/>
    <w:lsdException w:uiPriority="0" w:name="envelope address"/>
    <w:lsdException w:uiPriority="0" w:name="envelope return"/>
    <w:lsdException w:uiPriority="0" w:name="footnote reference"/>
    <w:lsdException w:qFormat="1" w:unhideWhenUsed="0"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qFormat="1" w:unhideWhenUsed="0" w:uiPriority="0" w:semiHidden="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qFormat="1" w:unhideWhenUsed="0" w:uiPriority="0" w:semiHidden="0" w:name="Body Text 2"/>
    <w:lsdException w:qFormat="1" w:unhideWhenUsed="0" w:uiPriority="0" w:semiHidden="0" w:name="Body Text 3"/>
    <w:lsdException w:uiPriority="0" w:name="Body Text Indent 2"/>
    <w:lsdException w:uiPriority="0" w:name="Body Text Indent 3"/>
    <w:lsdException w:uiPriority="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qFormat="1"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46"/>
    <w:qFormat/>
    <w:uiPriority w:val="0"/>
    <w:pPr>
      <w:keepNext/>
      <w:keepLines/>
      <w:numPr>
        <w:ilvl w:val="0"/>
        <w:numId w:val="1"/>
      </w:numPr>
      <w:spacing w:before="240" w:after="240" w:line="480" w:lineRule="auto"/>
      <w:outlineLvl w:val="0"/>
    </w:pPr>
    <w:rPr>
      <w:b/>
      <w:bCs/>
      <w:kern w:val="44"/>
      <w:sz w:val="36"/>
      <w:szCs w:val="44"/>
    </w:rPr>
  </w:style>
  <w:style w:type="paragraph" w:styleId="3">
    <w:name w:val="heading 2"/>
    <w:basedOn w:val="1"/>
    <w:next w:val="1"/>
    <w:link w:val="47"/>
    <w:qFormat/>
    <w:uiPriority w:val="0"/>
    <w:pPr>
      <w:keepNext/>
      <w:keepLines/>
      <w:numPr>
        <w:ilvl w:val="1"/>
        <w:numId w:val="1"/>
      </w:numPr>
      <w:spacing w:before="160" w:after="160" w:line="360" w:lineRule="auto"/>
      <w:outlineLvl w:val="1"/>
    </w:pPr>
    <w:rPr>
      <w:rFonts w:ascii="宋体" w:hAnsi="宋体"/>
      <w:b/>
      <w:bCs/>
      <w:sz w:val="30"/>
      <w:szCs w:val="32"/>
    </w:rPr>
  </w:style>
  <w:style w:type="paragraph" w:styleId="4">
    <w:name w:val="heading 3"/>
    <w:basedOn w:val="1"/>
    <w:next w:val="1"/>
    <w:link w:val="72"/>
    <w:qFormat/>
    <w:uiPriority w:val="0"/>
    <w:pPr>
      <w:keepNext/>
      <w:keepLines/>
      <w:numPr>
        <w:ilvl w:val="2"/>
        <w:numId w:val="1"/>
      </w:numPr>
      <w:spacing w:before="120" w:after="120" w:line="360" w:lineRule="auto"/>
      <w:outlineLvl w:val="2"/>
    </w:pPr>
    <w:rPr>
      <w:rFonts w:ascii="宋体" w:hAnsi="宋体"/>
      <w:b/>
      <w:bCs/>
      <w:sz w:val="24"/>
      <w:szCs w:val="32"/>
    </w:rPr>
  </w:style>
  <w:style w:type="paragraph" w:styleId="5">
    <w:name w:val="heading 4"/>
    <w:basedOn w:val="1"/>
    <w:next w:val="1"/>
    <w:link w:val="73"/>
    <w:qFormat/>
    <w:uiPriority w:val="0"/>
    <w:pPr>
      <w:keepNext/>
      <w:keepLines/>
      <w:numPr>
        <w:ilvl w:val="3"/>
        <w:numId w:val="1"/>
      </w:numPr>
      <w:spacing w:before="280" w:after="290" w:line="376" w:lineRule="auto"/>
      <w:outlineLvl w:val="3"/>
    </w:pPr>
    <w:rPr>
      <w:rFonts w:ascii="Arial" w:hAnsi="Arial" w:eastAsia="黑体"/>
      <w:b/>
      <w:bCs/>
      <w:sz w:val="28"/>
      <w:szCs w:val="28"/>
    </w:rPr>
  </w:style>
  <w:style w:type="paragraph" w:styleId="6">
    <w:name w:val="heading 5"/>
    <w:basedOn w:val="1"/>
    <w:next w:val="1"/>
    <w:link w:val="74"/>
    <w:qFormat/>
    <w:uiPriority w:val="0"/>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75"/>
    <w:qFormat/>
    <w:uiPriority w:val="0"/>
    <w:pPr>
      <w:keepNext/>
      <w:keepLines/>
      <w:numPr>
        <w:ilvl w:val="5"/>
        <w:numId w:val="1"/>
      </w:numPr>
      <w:spacing w:before="240" w:after="64" w:line="320" w:lineRule="auto"/>
      <w:outlineLvl w:val="5"/>
    </w:pPr>
    <w:rPr>
      <w:rFonts w:ascii="Arial" w:hAnsi="Arial" w:eastAsia="黑体"/>
      <w:b/>
      <w:bCs/>
      <w:sz w:val="24"/>
    </w:rPr>
  </w:style>
  <w:style w:type="paragraph" w:styleId="8">
    <w:name w:val="heading 7"/>
    <w:basedOn w:val="1"/>
    <w:next w:val="1"/>
    <w:link w:val="76"/>
    <w:qFormat/>
    <w:uiPriority w:val="0"/>
    <w:pPr>
      <w:keepNext/>
      <w:keepLines/>
      <w:numPr>
        <w:ilvl w:val="6"/>
        <w:numId w:val="1"/>
      </w:numPr>
      <w:spacing w:before="240" w:after="64" w:line="320" w:lineRule="auto"/>
      <w:outlineLvl w:val="6"/>
    </w:pPr>
    <w:rPr>
      <w:b/>
      <w:bCs/>
      <w:sz w:val="24"/>
    </w:rPr>
  </w:style>
  <w:style w:type="paragraph" w:styleId="9">
    <w:name w:val="heading 8"/>
    <w:basedOn w:val="1"/>
    <w:next w:val="1"/>
    <w:link w:val="77"/>
    <w:qFormat/>
    <w:uiPriority w:val="0"/>
    <w:pPr>
      <w:keepNext/>
      <w:keepLines/>
      <w:numPr>
        <w:ilvl w:val="7"/>
        <w:numId w:val="1"/>
      </w:numPr>
      <w:adjustRightInd w:val="0"/>
      <w:spacing w:before="240" w:after="64" w:line="320" w:lineRule="atLeast"/>
      <w:textAlignment w:val="baseline"/>
      <w:outlineLvl w:val="7"/>
    </w:pPr>
    <w:rPr>
      <w:rFonts w:ascii="Arial" w:hAnsi="Arial" w:eastAsia="黑体"/>
      <w:kern w:val="0"/>
      <w:position w:val="-14"/>
      <w:sz w:val="24"/>
    </w:rPr>
  </w:style>
  <w:style w:type="paragraph" w:styleId="10">
    <w:name w:val="heading 9"/>
    <w:basedOn w:val="1"/>
    <w:next w:val="1"/>
    <w:link w:val="78"/>
    <w:qFormat/>
    <w:uiPriority w:val="0"/>
    <w:pPr>
      <w:keepNext/>
      <w:keepLines/>
      <w:numPr>
        <w:ilvl w:val="8"/>
        <w:numId w:val="1"/>
      </w:numPr>
      <w:spacing w:before="240" w:after="64" w:line="320" w:lineRule="auto"/>
      <w:outlineLvl w:val="8"/>
    </w:pPr>
    <w:rPr>
      <w:rFonts w:ascii="Arial" w:hAnsi="Arial" w:eastAsia="黑体"/>
      <w:szCs w:val="21"/>
    </w:rPr>
  </w:style>
  <w:style w:type="character" w:default="1" w:styleId="38">
    <w:name w:val="Default Paragraph Font"/>
    <w:semiHidden/>
    <w:unhideWhenUsed/>
    <w:uiPriority w:val="1"/>
  </w:style>
  <w:style w:type="table" w:default="1" w:styleId="36">
    <w:name w:val="Normal Table"/>
    <w:semiHidden/>
    <w:unhideWhenUsed/>
    <w:uiPriority w:val="99"/>
    <w:tblPr>
      <w:tblCellMar>
        <w:top w:w="0" w:type="dxa"/>
        <w:left w:w="108" w:type="dxa"/>
        <w:bottom w:w="0" w:type="dxa"/>
        <w:right w:w="108" w:type="dxa"/>
      </w:tblCellMar>
    </w:tblPr>
  </w:style>
  <w:style w:type="paragraph" w:styleId="11">
    <w:name w:val="toc 7"/>
    <w:basedOn w:val="1"/>
    <w:next w:val="1"/>
    <w:semiHidden/>
    <w:qFormat/>
    <w:uiPriority w:val="0"/>
    <w:pPr>
      <w:ind w:left="1260"/>
      <w:jc w:val="left"/>
    </w:pPr>
    <w:rPr>
      <w:sz w:val="18"/>
      <w:szCs w:val="18"/>
    </w:rPr>
  </w:style>
  <w:style w:type="paragraph" w:styleId="12">
    <w:name w:val="Normal Indent"/>
    <w:basedOn w:val="1"/>
    <w:link w:val="71"/>
    <w:qFormat/>
    <w:uiPriority w:val="0"/>
    <w:pPr>
      <w:ind w:firstLine="420"/>
    </w:pPr>
    <w:rPr>
      <w:szCs w:val="20"/>
    </w:rPr>
  </w:style>
  <w:style w:type="paragraph" w:styleId="13">
    <w:name w:val="caption"/>
    <w:basedOn w:val="1"/>
    <w:next w:val="1"/>
    <w:qFormat/>
    <w:uiPriority w:val="0"/>
    <w:pPr>
      <w:adjustRightInd w:val="0"/>
      <w:spacing w:before="152" w:after="160" w:line="312" w:lineRule="atLeast"/>
      <w:textAlignment w:val="baseline"/>
    </w:pPr>
    <w:rPr>
      <w:rFonts w:eastAsia="黑体"/>
      <w:b/>
      <w:kern w:val="0"/>
      <w:sz w:val="18"/>
      <w:szCs w:val="20"/>
    </w:rPr>
  </w:style>
  <w:style w:type="paragraph" w:styleId="14">
    <w:name w:val="Document Map"/>
    <w:basedOn w:val="1"/>
    <w:link w:val="86"/>
    <w:semiHidden/>
    <w:qFormat/>
    <w:uiPriority w:val="0"/>
    <w:pPr>
      <w:shd w:val="clear" w:color="auto" w:fill="000080"/>
    </w:pPr>
  </w:style>
  <w:style w:type="paragraph" w:styleId="15">
    <w:name w:val="annotation text"/>
    <w:basedOn w:val="1"/>
    <w:link w:val="65"/>
    <w:semiHidden/>
    <w:qFormat/>
    <w:uiPriority w:val="0"/>
    <w:pPr>
      <w:adjustRightInd w:val="0"/>
      <w:spacing w:line="312" w:lineRule="atLeast"/>
      <w:jc w:val="left"/>
      <w:textAlignment w:val="baseline"/>
    </w:pPr>
    <w:rPr>
      <w:kern w:val="0"/>
      <w:position w:val="-14"/>
      <w:szCs w:val="20"/>
    </w:rPr>
  </w:style>
  <w:style w:type="paragraph" w:styleId="16">
    <w:name w:val="Body Text 3"/>
    <w:basedOn w:val="1"/>
    <w:link w:val="84"/>
    <w:qFormat/>
    <w:uiPriority w:val="0"/>
    <w:pPr>
      <w:spacing w:after="120"/>
    </w:pPr>
    <w:rPr>
      <w:sz w:val="16"/>
      <w:szCs w:val="16"/>
    </w:rPr>
  </w:style>
  <w:style w:type="paragraph" w:styleId="17">
    <w:name w:val="Body Text"/>
    <w:basedOn w:val="1"/>
    <w:link w:val="79"/>
    <w:qFormat/>
    <w:uiPriority w:val="0"/>
    <w:pPr>
      <w:spacing w:before="120" w:line="225" w:lineRule="atLeast"/>
    </w:pPr>
    <w:rPr>
      <w:spacing w:val="5"/>
      <w:sz w:val="24"/>
    </w:rPr>
  </w:style>
  <w:style w:type="paragraph" w:styleId="18">
    <w:name w:val="Body Text Indent"/>
    <w:basedOn w:val="1"/>
    <w:link w:val="85"/>
    <w:qFormat/>
    <w:uiPriority w:val="0"/>
    <w:pPr>
      <w:spacing w:after="120"/>
      <w:ind w:left="420" w:leftChars="200"/>
    </w:pPr>
  </w:style>
  <w:style w:type="paragraph" w:styleId="19">
    <w:name w:val="List Bullet 2"/>
    <w:basedOn w:val="1"/>
    <w:qFormat/>
    <w:uiPriority w:val="0"/>
    <w:pPr>
      <w:tabs>
        <w:tab w:val="left" w:pos="533"/>
      </w:tabs>
      <w:adjustRightInd w:val="0"/>
      <w:spacing w:line="312" w:lineRule="atLeast"/>
      <w:ind w:left="533" w:hanging="420"/>
      <w:textAlignment w:val="baseline"/>
    </w:pPr>
    <w:rPr>
      <w:kern w:val="0"/>
      <w:sz w:val="24"/>
      <w:szCs w:val="20"/>
    </w:rPr>
  </w:style>
  <w:style w:type="paragraph" w:styleId="20">
    <w:name w:val="toc 5"/>
    <w:basedOn w:val="1"/>
    <w:next w:val="1"/>
    <w:semiHidden/>
    <w:qFormat/>
    <w:uiPriority w:val="0"/>
    <w:pPr>
      <w:ind w:left="840"/>
      <w:jc w:val="left"/>
    </w:pPr>
    <w:rPr>
      <w:sz w:val="18"/>
      <w:szCs w:val="18"/>
    </w:rPr>
  </w:style>
  <w:style w:type="paragraph" w:styleId="21">
    <w:name w:val="toc 3"/>
    <w:basedOn w:val="1"/>
    <w:next w:val="1"/>
    <w:qFormat/>
    <w:uiPriority w:val="39"/>
    <w:pPr>
      <w:tabs>
        <w:tab w:val="left" w:pos="982"/>
        <w:tab w:val="left" w:pos="1582"/>
        <w:tab w:val="right" w:leader="dot" w:pos="8314"/>
      </w:tabs>
      <w:spacing w:before="120" w:after="120"/>
      <w:ind w:left="840" w:leftChars="400"/>
      <w:jc w:val="left"/>
    </w:pPr>
    <w:rPr>
      <w:iCs/>
      <w:szCs w:val="20"/>
    </w:rPr>
  </w:style>
  <w:style w:type="paragraph" w:styleId="22">
    <w:name w:val="Plain Text"/>
    <w:basedOn w:val="1"/>
    <w:link w:val="88"/>
    <w:qFormat/>
    <w:uiPriority w:val="0"/>
    <w:rPr>
      <w:rFonts w:ascii="宋体" w:hAnsi="Courier New"/>
      <w:szCs w:val="20"/>
    </w:rPr>
  </w:style>
  <w:style w:type="paragraph" w:styleId="23">
    <w:name w:val="toc 8"/>
    <w:basedOn w:val="1"/>
    <w:next w:val="1"/>
    <w:semiHidden/>
    <w:qFormat/>
    <w:uiPriority w:val="0"/>
    <w:pPr>
      <w:ind w:left="1470"/>
      <w:jc w:val="left"/>
    </w:pPr>
    <w:rPr>
      <w:sz w:val="18"/>
      <w:szCs w:val="18"/>
    </w:rPr>
  </w:style>
  <w:style w:type="paragraph" w:styleId="24">
    <w:name w:val="Balloon Text"/>
    <w:basedOn w:val="1"/>
    <w:link w:val="81"/>
    <w:semiHidden/>
    <w:qFormat/>
    <w:uiPriority w:val="0"/>
    <w:rPr>
      <w:sz w:val="18"/>
      <w:szCs w:val="18"/>
    </w:rPr>
  </w:style>
  <w:style w:type="paragraph" w:styleId="25">
    <w:name w:val="footer"/>
    <w:basedOn w:val="1"/>
    <w:link w:val="67"/>
    <w:qFormat/>
    <w:uiPriority w:val="0"/>
    <w:pPr>
      <w:tabs>
        <w:tab w:val="center" w:pos="4153"/>
        <w:tab w:val="right" w:pos="8306"/>
      </w:tabs>
      <w:snapToGrid w:val="0"/>
      <w:jc w:val="left"/>
    </w:pPr>
    <w:rPr>
      <w:sz w:val="18"/>
      <w:szCs w:val="18"/>
    </w:rPr>
  </w:style>
  <w:style w:type="paragraph" w:styleId="26">
    <w:name w:val="header"/>
    <w:basedOn w:val="1"/>
    <w:link w:val="80"/>
    <w:qFormat/>
    <w:uiPriority w:val="99"/>
    <w:pPr>
      <w:pBdr>
        <w:bottom w:val="single" w:color="auto" w:sz="6" w:space="1"/>
      </w:pBdr>
      <w:tabs>
        <w:tab w:val="center" w:pos="4153"/>
        <w:tab w:val="right" w:pos="8306"/>
      </w:tabs>
      <w:snapToGrid w:val="0"/>
      <w:jc w:val="center"/>
    </w:pPr>
    <w:rPr>
      <w:sz w:val="18"/>
      <w:szCs w:val="18"/>
    </w:rPr>
  </w:style>
  <w:style w:type="paragraph" w:styleId="27">
    <w:name w:val="toc 1"/>
    <w:basedOn w:val="1"/>
    <w:next w:val="1"/>
    <w:qFormat/>
    <w:uiPriority w:val="39"/>
    <w:pPr>
      <w:tabs>
        <w:tab w:val="left" w:pos="525"/>
        <w:tab w:val="right" w:leader="dot" w:pos="8314"/>
      </w:tabs>
      <w:spacing w:before="120" w:after="120"/>
      <w:ind w:firstLine="361" w:firstLineChars="100"/>
      <w:jc w:val="center"/>
    </w:pPr>
    <w:rPr>
      <w:bCs/>
      <w:caps/>
      <w:szCs w:val="20"/>
    </w:rPr>
  </w:style>
  <w:style w:type="paragraph" w:styleId="28">
    <w:name w:val="toc 4"/>
    <w:basedOn w:val="1"/>
    <w:next w:val="1"/>
    <w:semiHidden/>
    <w:qFormat/>
    <w:uiPriority w:val="0"/>
    <w:pPr>
      <w:ind w:left="630"/>
      <w:jc w:val="left"/>
    </w:pPr>
    <w:rPr>
      <w:sz w:val="18"/>
      <w:szCs w:val="18"/>
    </w:rPr>
  </w:style>
  <w:style w:type="paragraph" w:styleId="29">
    <w:name w:val="toc 6"/>
    <w:basedOn w:val="1"/>
    <w:next w:val="1"/>
    <w:semiHidden/>
    <w:qFormat/>
    <w:uiPriority w:val="0"/>
    <w:pPr>
      <w:ind w:left="1050"/>
      <w:jc w:val="left"/>
    </w:pPr>
    <w:rPr>
      <w:sz w:val="18"/>
      <w:szCs w:val="18"/>
    </w:rPr>
  </w:style>
  <w:style w:type="paragraph" w:styleId="30">
    <w:name w:val="table of figures"/>
    <w:basedOn w:val="1"/>
    <w:next w:val="1"/>
    <w:semiHidden/>
    <w:qFormat/>
    <w:uiPriority w:val="0"/>
    <w:pPr>
      <w:tabs>
        <w:tab w:val="right" w:leader="dot" w:pos="9061"/>
      </w:tabs>
    </w:pPr>
    <w:rPr>
      <w:sz w:val="24"/>
    </w:rPr>
  </w:style>
  <w:style w:type="paragraph" w:styleId="31">
    <w:name w:val="toc 2"/>
    <w:basedOn w:val="1"/>
    <w:next w:val="1"/>
    <w:qFormat/>
    <w:uiPriority w:val="39"/>
    <w:pPr>
      <w:tabs>
        <w:tab w:val="left" w:pos="652"/>
        <w:tab w:val="left" w:pos="968"/>
        <w:tab w:val="right" w:leader="dot" w:pos="8314"/>
      </w:tabs>
      <w:spacing w:before="120" w:after="120"/>
      <w:ind w:left="420" w:leftChars="200"/>
      <w:jc w:val="left"/>
    </w:pPr>
    <w:rPr>
      <w:smallCaps/>
      <w:szCs w:val="20"/>
    </w:rPr>
  </w:style>
  <w:style w:type="paragraph" w:styleId="32">
    <w:name w:val="toc 9"/>
    <w:basedOn w:val="1"/>
    <w:next w:val="1"/>
    <w:semiHidden/>
    <w:qFormat/>
    <w:uiPriority w:val="0"/>
    <w:pPr>
      <w:ind w:left="1680"/>
      <w:jc w:val="left"/>
    </w:pPr>
    <w:rPr>
      <w:sz w:val="18"/>
      <w:szCs w:val="18"/>
    </w:rPr>
  </w:style>
  <w:style w:type="paragraph" w:styleId="33">
    <w:name w:val="Body Text 2"/>
    <w:basedOn w:val="1"/>
    <w:link w:val="83"/>
    <w:qFormat/>
    <w:uiPriority w:val="0"/>
    <w:pPr>
      <w:adjustRightInd w:val="0"/>
      <w:spacing w:line="300" w:lineRule="auto"/>
      <w:textAlignment w:val="baseline"/>
    </w:pPr>
    <w:rPr>
      <w:rFonts w:ascii="Arial" w:hAnsi="Arial"/>
      <w:kern w:val="0"/>
      <w:position w:val="-14"/>
      <w:sz w:val="20"/>
      <w:szCs w:val="20"/>
    </w:rPr>
  </w:style>
  <w:style w:type="paragraph" w:styleId="34">
    <w:name w:val="Title"/>
    <w:basedOn w:val="1"/>
    <w:link w:val="82"/>
    <w:qFormat/>
    <w:uiPriority w:val="0"/>
    <w:pPr>
      <w:adjustRightInd w:val="0"/>
      <w:spacing w:line="300" w:lineRule="auto"/>
      <w:jc w:val="center"/>
      <w:textAlignment w:val="baseline"/>
    </w:pPr>
    <w:rPr>
      <w:rFonts w:ascii="Arial" w:hAnsi="Arial"/>
      <w:b/>
      <w:kern w:val="0"/>
      <w:position w:val="-14"/>
      <w:sz w:val="28"/>
      <w:szCs w:val="20"/>
    </w:rPr>
  </w:style>
  <w:style w:type="paragraph" w:styleId="35">
    <w:name w:val="annotation subject"/>
    <w:basedOn w:val="15"/>
    <w:next w:val="15"/>
    <w:link w:val="87"/>
    <w:semiHidden/>
    <w:qFormat/>
    <w:uiPriority w:val="0"/>
    <w:pPr>
      <w:adjustRightInd/>
      <w:spacing w:line="240" w:lineRule="auto"/>
      <w:textAlignment w:val="auto"/>
    </w:pPr>
    <w:rPr>
      <w:b/>
      <w:bCs/>
      <w:kern w:val="2"/>
      <w:szCs w:val="24"/>
    </w:rPr>
  </w:style>
  <w:style w:type="table" w:styleId="37">
    <w:name w:val="Table Grid"/>
    <w:basedOn w:val="3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9">
    <w:name w:val="page number"/>
    <w:basedOn w:val="38"/>
    <w:qFormat/>
    <w:uiPriority w:val="0"/>
  </w:style>
  <w:style w:type="character" w:styleId="40">
    <w:name w:val="FollowedHyperlink"/>
    <w:qFormat/>
    <w:uiPriority w:val="0"/>
    <w:rPr>
      <w:color w:val="800080"/>
      <w:u w:val="single"/>
    </w:rPr>
  </w:style>
  <w:style w:type="character" w:styleId="41">
    <w:name w:val="Hyperlink"/>
    <w:qFormat/>
    <w:uiPriority w:val="99"/>
    <w:rPr>
      <w:color w:val="0000FF"/>
      <w:u w:val="single"/>
    </w:rPr>
  </w:style>
  <w:style w:type="character" w:styleId="42">
    <w:name w:val="annotation reference"/>
    <w:semiHidden/>
    <w:qFormat/>
    <w:uiPriority w:val="0"/>
    <w:rPr>
      <w:sz w:val="21"/>
      <w:szCs w:val="21"/>
    </w:rPr>
  </w:style>
  <w:style w:type="paragraph" w:customStyle="1" w:styleId="43">
    <w:name w:val="正文1"/>
    <w:basedOn w:val="1"/>
    <w:link w:val="98"/>
    <w:qFormat/>
    <w:uiPriority w:val="0"/>
    <w:pPr>
      <w:ind w:firstLine="420" w:firstLineChars="200"/>
    </w:pPr>
    <w:rPr>
      <w:rFonts w:ascii="宋体" w:hAnsi="宋体"/>
      <w:szCs w:val="20"/>
    </w:rPr>
  </w:style>
  <w:style w:type="paragraph" w:customStyle="1" w:styleId="44">
    <w:name w:val="È±Ê¡ÎÄ±¾"/>
    <w:basedOn w:val="1"/>
    <w:qFormat/>
    <w:uiPriority w:val="0"/>
    <w:pPr>
      <w:widowControl/>
      <w:overflowPunct w:val="0"/>
      <w:autoSpaceDE w:val="0"/>
      <w:autoSpaceDN w:val="0"/>
      <w:adjustRightInd w:val="0"/>
      <w:jc w:val="left"/>
      <w:textAlignment w:val="baseline"/>
    </w:pPr>
    <w:rPr>
      <w:kern w:val="0"/>
      <w:sz w:val="24"/>
      <w:szCs w:val="20"/>
    </w:rPr>
  </w:style>
  <w:style w:type="paragraph" w:customStyle="1" w:styleId="45">
    <w:name w:val="第二标题"/>
    <w:basedOn w:val="3"/>
    <w:next w:val="1"/>
    <w:qFormat/>
    <w:uiPriority w:val="0"/>
    <w:pPr>
      <w:keepLines w:val="0"/>
      <w:numPr>
        <w:ilvl w:val="0"/>
        <w:numId w:val="0"/>
      </w:numPr>
      <w:spacing w:before="0" w:after="260" w:line="300" w:lineRule="auto"/>
    </w:pPr>
    <w:rPr>
      <w:rFonts w:ascii="Arial" w:hAnsi="Arial"/>
      <w:b w:val="0"/>
      <w:bCs w:val="0"/>
      <w:sz w:val="28"/>
      <w:szCs w:val="28"/>
    </w:rPr>
  </w:style>
  <w:style w:type="character" w:customStyle="1" w:styleId="46">
    <w:name w:val="标题 1 字符"/>
    <w:link w:val="2"/>
    <w:qFormat/>
    <w:uiPriority w:val="0"/>
    <w:rPr>
      <w:b/>
      <w:bCs/>
      <w:kern w:val="44"/>
      <w:sz w:val="36"/>
      <w:szCs w:val="44"/>
    </w:rPr>
  </w:style>
  <w:style w:type="character" w:customStyle="1" w:styleId="47">
    <w:name w:val="标题 2 字符"/>
    <w:link w:val="3"/>
    <w:qFormat/>
    <w:uiPriority w:val="0"/>
    <w:rPr>
      <w:rFonts w:ascii="宋体" w:hAnsi="宋体"/>
      <w:b/>
      <w:bCs/>
      <w:kern w:val="2"/>
      <w:sz w:val="30"/>
      <w:szCs w:val="32"/>
    </w:rPr>
  </w:style>
  <w:style w:type="paragraph" w:customStyle="1" w:styleId="48">
    <w:name w:val="正文5"/>
    <w:basedOn w:val="1"/>
    <w:qFormat/>
    <w:uiPriority w:val="0"/>
    <w:pPr>
      <w:numPr>
        <w:ilvl w:val="0"/>
        <w:numId w:val="2"/>
      </w:numPr>
      <w:ind w:left="2198" w:leftChars="0" w:hanging="2198" w:firstLineChars="0"/>
    </w:pPr>
    <w:rPr>
      <w:rFonts w:ascii="Arial" w:hAnsi="Arial" w:cs="Arial"/>
      <w:sz w:val="24"/>
    </w:rPr>
  </w:style>
  <w:style w:type="paragraph" w:customStyle="1" w:styleId="49">
    <w:name w:val="正文4"/>
    <w:basedOn w:val="1"/>
    <w:qFormat/>
    <w:uiPriority w:val="0"/>
    <w:pPr>
      <w:spacing w:beforeLines="20" w:afterLines="20"/>
      <w:ind w:left="728" w:hanging="280" w:hangingChars="280"/>
    </w:pPr>
    <w:rPr>
      <w:rFonts w:ascii="Arial" w:hAnsi="Arial" w:eastAsia="黑体" w:cs="Arial"/>
    </w:rPr>
  </w:style>
  <w:style w:type="paragraph" w:customStyle="1" w:styleId="50">
    <w:name w:val="正文2 Char Char"/>
    <w:basedOn w:val="1"/>
    <w:link w:val="51"/>
    <w:qFormat/>
    <w:uiPriority w:val="0"/>
    <w:pPr>
      <w:spacing w:beforeLines="20" w:afterLines="20"/>
      <w:ind w:firstLine="519" w:firstLineChars="200"/>
    </w:pPr>
    <w:rPr>
      <w:rFonts w:ascii="宋体"/>
      <w:sz w:val="24"/>
    </w:rPr>
  </w:style>
  <w:style w:type="character" w:customStyle="1" w:styleId="51">
    <w:name w:val="正文2 Char Char Char"/>
    <w:link w:val="50"/>
    <w:qFormat/>
    <w:uiPriority w:val="0"/>
    <w:rPr>
      <w:rFonts w:ascii="宋体" w:eastAsia="宋体"/>
      <w:kern w:val="2"/>
      <w:sz w:val="24"/>
      <w:szCs w:val="24"/>
      <w:lang w:val="en-US" w:eastAsia="zh-CN" w:bidi="ar-SA"/>
    </w:rPr>
  </w:style>
  <w:style w:type="paragraph" w:customStyle="1" w:styleId="52">
    <w:name w:val="正文2"/>
    <w:basedOn w:val="43"/>
    <w:qFormat/>
    <w:uiPriority w:val="0"/>
    <w:pPr>
      <w:spacing w:beforeLines="15" w:afterLines="15"/>
      <w:ind w:firstLine="480"/>
    </w:pPr>
    <w:rPr>
      <w:rFonts w:ascii="Times New Roman" w:hAnsi="Times New Roman"/>
      <w:sz w:val="24"/>
    </w:rPr>
  </w:style>
  <w:style w:type="paragraph" w:customStyle="1" w:styleId="53">
    <w:name w:val="Default"/>
    <w:qFormat/>
    <w:uiPriority w:val="0"/>
    <w:pPr>
      <w:widowControl w:val="0"/>
      <w:autoSpaceDE w:val="0"/>
      <w:autoSpaceDN w:val="0"/>
      <w:adjustRightInd w:val="0"/>
    </w:pPr>
    <w:rPr>
      <w:rFonts w:ascii="楷体_GB2312" w:hAnsi="Times New Roman" w:eastAsia="楷体_GB2312" w:cs="楷体_GB2312"/>
      <w:color w:val="000000"/>
      <w:sz w:val="24"/>
      <w:szCs w:val="24"/>
      <w:lang w:val="en-US" w:eastAsia="zh-CN" w:bidi="ar-SA"/>
    </w:rPr>
  </w:style>
  <w:style w:type="character" w:customStyle="1" w:styleId="54">
    <w:name w:val="正文2 Char"/>
    <w:qFormat/>
    <w:uiPriority w:val="0"/>
    <w:rPr>
      <w:rFonts w:ascii="Arial" w:hAnsi="Arial" w:eastAsia="宋体" w:cs="Arial"/>
      <w:bCs/>
      <w:kern w:val="2"/>
      <w:sz w:val="24"/>
      <w:lang w:val="en-US" w:eastAsia="zh-CN" w:bidi="ar-SA"/>
    </w:rPr>
  </w:style>
  <w:style w:type="paragraph" w:customStyle="1" w:styleId="55">
    <w:name w:val="样式 标题 1 + 加粗"/>
    <w:basedOn w:val="2"/>
    <w:qFormat/>
    <w:uiPriority w:val="0"/>
    <w:pPr>
      <w:keepLines w:val="0"/>
      <w:numPr>
        <w:numId w:val="0"/>
      </w:numPr>
      <w:spacing w:before="0" w:after="0" w:line="300" w:lineRule="auto"/>
    </w:pPr>
    <w:rPr>
      <w:rFonts w:ascii="Arial" w:hAnsi="Arial"/>
      <w:b w:val="0"/>
      <w:kern w:val="2"/>
      <w:sz w:val="28"/>
      <w:szCs w:val="20"/>
    </w:rPr>
  </w:style>
  <w:style w:type="paragraph" w:customStyle="1" w:styleId="56">
    <w:name w:val="样式 标题 2 + 加粗 无下划线"/>
    <w:basedOn w:val="3"/>
    <w:link w:val="57"/>
    <w:qFormat/>
    <w:uiPriority w:val="0"/>
    <w:pPr>
      <w:keepLines w:val="0"/>
      <w:numPr>
        <w:ilvl w:val="0"/>
        <w:numId w:val="0"/>
      </w:numPr>
      <w:spacing w:before="0" w:after="0" w:line="300" w:lineRule="auto"/>
    </w:pPr>
    <w:rPr>
      <w:rFonts w:ascii="Arial" w:hAnsi="Arial"/>
      <w:sz w:val="24"/>
    </w:rPr>
  </w:style>
  <w:style w:type="character" w:customStyle="1" w:styleId="57">
    <w:name w:val="样式 标题 2 + 加粗 无下划线 Char"/>
    <w:link w:val="56"/>
    <w:qFormat/>
    <w:uiPriority w:val="0"/>
    <w:rPr>
      <w:rFonts w:ascii="Arial" w:hAnsi="Arial"/>
      <w:b/>
      <w:bCs/>
      <w:kern w:val="2"/>
      <w:sz w:val="24"/>
      <w:szCs w:val="32"/>
    </w:rPr>
  </w:style>
  <w:style w:type="paragraph" w:customStyle="1" w:styleId="58">
    <w:name w:val="标题2"/>
    <w:basedOn w:val="3"/>
    <w:next w:val="1"/>
    <w:qFormat/>
    <w:uiPriority w:val="0"/>
    <w:pPr>
      <w:keepLines w:val="0"/>
      <w:numPr>
        <w:ilvl w:val="0"/>
        <w:numId w:val="0"/>
      </w:numPr>
      <w:spacing w:before="300" w:after="260" w:line="300" w:lineRule="auto"/>
    </w:pPr>
    <w:rPr>
      <w:rFonts w:ascii="Arial" w:hAnsi="Arial"/>
      <w:bCs w:val="0"/>
      <w:sz w:val="24"/>
      <w:szCs w:val="28"/>
    </w:rPr>
  </w:style>
  <w:style w:type="paragraph" w:customStyle="1" w:styleId="59">
    <w:name w:val="标题3"/>
    <w:basedOn w:val="4"/>
    <w:next w:val="1"/>
    <w:qFormat/>
    <w:uiPriority w:val="0"/>
    <w:pPr>
      <w:keepLines w:val="0"/>
      <w:numPr>
        <w:ilvl w:val="0"/>
        <w:numId w:val="0"/>
      </w:numPr>
      <w:spacing w:before="240" w:after="240" w:line="300" w:lineRule="auto"/>
    </w:pPr>
    <w:rPr>
      <w:rFonts w:ascii="Arial" w:hAnsi="Arial"/>
      <w:bCs w:val="0"/>
      <w:sz w:val="21"/>
      <w:szCs w:val="21"/>
    </w:rPr>
  </w:style>
  <w:style w:type="paragraph" w:customStyle="1" w:styleId="60">
    <w:name w:val="第一标题"/>
    <w:basedOn w:val="2"/>
    <w:next w:val="1"/>
    <w:qFormat/>
    <w:uiPriority w:val="0"/>
    <w:pPr>
      <w:numPr>
        <w:numId w:val="0"/>
      </w:numPr>
      <w:spacing w:before="360" w:after="330" w:line="300" w:lineRule="auto"/>
      <w:jc w:val="center"/>
    </w:pPr>
    <w:rPr>
      <w:rFonts w:ascii="Arial" w:hAnsi="Arial" w:eastAsia="黑体"/>
      <w:bCs w:val="0"/>
      <w:kern w:val="2"/>
      <w:sz w:val="32"/>
      <w:szCs w:val="20"/>
    </w:rPr>
  </w:style>
  <w:style w:type="paragraph" w:customStyle="1" w:styleId="61">
    <w:name w:val="第三标题"/>
    <w:basedOn w:val="4"/>
    <w:next w:val="1"/>
    <w:qFormat/>
    <w:uiPriority w:val="0"/>
    <w:pPr>
      <w:keepLines w:val="0"/>
      <w:numPr>
        <w:ilvl w:val="0"/>
        <w:numId w:val="0"/>
      </w:numPr>
      <w:spacing w:before="260" w:after="260" w:line="300" w:lineRule="auto"/>
    </w:pPr>
    <w:rPr>
      <w:rFonts w:ascii="Arial" w:hAnsi="Arial"/>
      <w:bCs w:val="0"/>
      <w:szCs w:val="24"/>
    </w:rPr>
  </w:style>
  <w:style w:type="paragraph" w:customStyle="1" w:styleId="62">
    <w:name w:val="第四标题"/>
    <w:basedOn w:val="5"/>
    <w:next w:val="1"/>
    <w:qFormat/>
    <w:uiPriority w:val="0"/>
    <w:pPr>
      <w:keepLines w:val="0"/>
      <w:numPr>
        <w:ilvl w:val="0"/>
        <w:numId w:val="0"/>
      </w:numPr>
      <w:spacing w:before="0" w:after="240" w:line="300" w:lineRule="auto"/>
    </w:pPr>
    <w:rPr>
      <w:rFonts w:eastAsia="Arial"/>
      <w:sz w:val="21"/>
      <w:szCs w:val="20"/>
    </w:rPr>
  </w:style>
  <w:style w:type="paragraph" w:customStyle="1" w:styleId="63">
    <w:name w:val="Style1"/>
    <w:basedOn w:val="1"/>
    <w:link w:val="64"/>
    <w:qFormat/>
    <w:uiPriority w:val="0"/>
    <w:pPr>
      <w:widowControl/>
      <w:jc w:val="left"/>
    </w:pPr>
    <w:rPr>
      <w:b/>
      <w:caps/>
      <w:kern w:val="0"/>
      <w:sz w:val="22"/>
      <w:szCs w:val="22"/>
      <w:lang w:eastAsia="en-US"/>
    </w:rPr>
  </w:style>
  <w:style w:type="character" w:customStyle="1" w:styleId="64">
    <w:name w:val="Style1 Char"/>
    <w:link w:val="63"/>
    <w:qFormat/>
    <w:uiPriority w:val="0"/>
    <w:rPr>
      <w:b/>
      <w:caps/>
      <w:sz w:val="22"/>
      <w:szCs w:val="22"/>
      <w:lang w:val="en-US" w:eastAsia="en-US" w:bidi="ar-SA"/>
    </w:rPr>
  </w:style>
  <w:style w:type="character" w:customStyle="1" w:styleId="65">
    <w:name w:val="批注文字 字符"/>
    <w:link w:val="15"/>
    <w:semiHidden/>
    <w:qFormat/>
    <w:uiPriority w:val="0"/>
    <w:rPr>
      <w:position w:val="-14"/>
      <w:sz w:val="21"/>
    </w:rPr>
  </w:style>
  <w:style w:type="paragraph" w:customStyle="1" w:styleId="66">
    <w:name w:val="Char"/>
    <w:basedOn w:val="1"/>
    <w:qFormat/>
    <w:uiPriority w:val="0"/>
    <w:pPr>
      <w:ind w:left="432" w:hanging="432"/>
    </w:pPr>
    <w:rPr>
      <w:sz w:val="24"/>
    </w:rPr>
  </w:style>
  <w:style w:type="character" w:customStyle="1" w:styleId="67">
    <w:name w:val="页脚 字符"/>
    <w:link w:val="25"/>
    <w:qFormat/>
    <w:uiPriority w:val="0"/>
    <w:rPr>
      <w:kern w:val="2"/>
      <w:sz w:val="18"/>
      <w:szCs w:val="18"/>
    </w:rPr>
  </w:style>
  <w:style w:type="character" w:customStyle="1" w:styleId="68">
    <w:name w:val="Footer Char"/>
    <w:qFormat/>
    <w:locked/>
    <w:uiPriority w:val="0"/>
    <w:rPr>
      <w:rFonts w:eastAsia="宋体"/>
      <w:kern w:val="2"/>
      <w:sz w:val="18"/>
      <w:szCs w:val="18"/>
      <w:lang w:val="en-US" w:eastAsia="zh-CN" w:bidi="ar-SA"/>
    </w:rPr>
  </w:style>
  <w:style w:type="paragraph" w:customStyle="1" w:styleId="69">
    <w:name w:val="图表"/>
    <w:basedOn w:val="13"/>
    <w:qFormat/>
    <w:uiPriority w:val="0"/>
    <w:pPr>
      <w:numPr>
        <w:ilvl w:val="0"/>
        <w:numId w:val="3"/>
      </w:numPr>
      <w:adjustRightInd/>
      <w:spacing w:before="0" w:after="0" w:line="240" w:lineRule="auto"/>
      <w:ind w:left="0" w:firstLine="0"/>
      <w:jc w:val="center"/>
      <w:textAlignment w:val="auto"/>
    </w:pPr>
    <w:rPr>
      <w:rFonts w:ascii="Arial" w:hAnsi="Arial" w:eastAsia="宋体" w:cs="Arial"/>
      <w:b w:val="0"/>
      <w:kern w:val="2"/>
      <w:sz w:val="21"/>
    </w:rPr>
  </w:style>
  <w:style w:type="paragraph" w:customStyle="1" w:styleId="70">
    <w:name w:val="正文_提示标题"/>
    <w:basedOn w:val="1"/>
    <w:next w:val="1"/>
    <w:qFormat/>
    <w:uiPriority w:val="0"/>
    <w:pPr>
      <w:tabs>
        <w:tab w:val="left" w:pos="432"/>
        <w:tab w:val="left" w:pos="1344"/>
      </w:tabs>
      <w:spacing w:beforeLines="50" w:afterLines="50" w:line="271" w:lineRule="auto"/>
      <w:ind w:left="984" w:hanging="432"/>
    </w:pPr>
    <w:rPr>
      <w:rFonts w:eastAsia="黑体"/>
      <w:bCs/>
      <w:color w:val="000000"/>
      <w:kern w:val="0"/>
      <w:sz w:val="24"/>
    </w:rPr>
  </w:style>
  <w:style w:type="character" w:customStyle="1" w:styleId="71">
    <w:name w:val="正文缩进 字符"/>
    <w:link w:val="12"/>
    <w:qFormat/>
    <w:uiPriority w:val="0"/>
    <w:rPr>
      <w:kern w:val="2"/>
      <w:sz w:val="21"/>
    </w:rPr>
  </w:style>
  <w:style w:type="character" w:customStyle="1" w:styleId="72">
    <w:name w:val="标题 3 字符"/>
    <w:link w:val="4"/>
    <w:qFormat/>
    <w:uiPriority w:val="0"/>
    <w:rPr>
      <w:rFonts w:ascii="宋体" w:hAnsi="宋体"/>
      <w:b/>
      <w:bCs/>
      <w:kern w:val="2"/>
      <w:sz w:val="24"/>
      <w:szCs w:val="32"/>
    </w:rPr>
  </w:style>
  <w:style w:type="character" w:customStyle="1" w:styleId="73">
    <w:name w:val="标题 4 字符"/>
    <w:link w:val="5"/>
    <w:qFormat/>
    <w:uiPriority w:val="0"/>
    <w:rPr>
      <w:rFonts w:ascii="Arial" w:hAnsi="Arial" w:eastAsia="黑体"/>
      <w:b/>
      <w:bCs/>
      <w:kern w:val="2"/>
      <w:sz w:val="28"/>
      <w:szCs w:val="28"/>
    </w:rPr>
  </w:style>
  <w:style w:type="character" w:customStyle="1" w:styleId="74">
    <w:name w:val="标题 5 字符"/>
    <w:link w:val="6"/>
    <w:qFormat/>
    <w:uiPriority w:val="0"/>
    <w:rPr>
      <w:b/>
      <w:bCs/>
      <w:kern w:val="2"/>
      <w:sz w:val="28"/>
      <w:szCs w:val="28"/>
    </w:rPr>
  </w:style>
  <w:style w:type="character" w:customStyle="1" w:styleId="75">
    <w:name w:val="标题 6 字符"/>
    <w:link w:val="7"/>
    <w:qFormat/>
    <w:uiPriority w:val="0"/>
    <w:rPr>
      <w:rFonts w:ascii="Arial" w:hAnsi="Arial" w:eastAsia="黑体"/>
      <w:b/>
      <w:bCs/>
      <w:kern w:val="2"/>
      <w:sz w:val="24"/>
      <w:szCs w:val="24"/>
    </w:rPr>
  </w:style>
  <w:style w:type="character" w:customStyle="1" w:styleId="76">
    <w:name w:val="标题 7 字符"/>
    <w:link w:val="8"/>
    <w:qFormat/>
    <w:uiPriority w:val="0"/>
    <w:rPr>
      <w:b/>
      <w:bCs/>
      <w:kern w:val="2"/>
      <w:sz w:val="24"/>
      <w:szCs w:val="24"/>
    </w:rPr>
  </w:style>
  <w:style w:type="character" w:customStyle="1" w:styleId="77">
    <w:name w:val="标题 8 字符"/>
    <w:link w:val="9"/>
    <w:qFormat/>
    <w:uiPriority w:val="0"/>
    <w:rPr>
      <w:rFonts w:ascii="Arial" w:hAnsi="Arial" w:eastAsia="黑体"/>
      <w:position w:val="-14"/>
      <w:sz w:val="24"/>
      <w:szCs w:val="24"/>
    </w:rPr>
  </w:style>
  <w:style w:type="character" w:customStyle="1" w:styleId="78">
    <w:name w:val="标题 9 字符"/>
    <w:link w:val="10"/>
    <w:qFormat/>
    <w:uiPriority w:val="0"/>
    <w:rPr>
      <w:rFonts w:ascii="Arial" w:hAnsi="Arial" w:eastAsia="黑体"/>
      <w:kern w:val="2"/>
      <w:sz w:val="21"/>
      <w:szCs w:val="21"/>
    </w:rPr>
  </w:style>
  <w:style w:type="character" w:customStyle="1" w:styleId="79">
    <w:name w:val="正文文本 字符"/>
    <w:link w:val="17"/>
    <w:qFormat/>
    <w:uiPriority w:val="0"/>
    <w:rPr>
      <w:spacing w:val="5"/>
      <w:kern w:val="2"/>
      <w:sz w:val="24"/>
      <w:szCs w:val="24"/>
    </w:rPr>
  </w:style>
  <w:style w:type="character" w:customStyle="1" w:styleId="80">
    <w:name w:val="页眉 字符"/>
    <w:link w:val="26"/>
    <w:qFormat/>
    <w:uiPriority w:val="99"/>
    <w:rPr>
      <w:kern w:val="2"/>
      <w:sz w:val="18"/>
      <w:szCs w:val="18"/>
    </w:rPr>
  </w:style>
  <w:style w:type="character" w:customStyle="1" w:styleId="81">
    <w:name w:val="批注框文本 字符"/>
    <w:link w:val="24"/>
    <w:semiHidden/>
    <w:qFormat/>
    <w:uiPriority w:val="0"/>
    <w:rPr>
      <w:kern w:val="2"/>
      <w:sz w:val="18"/>
      <w:szCs w:val="18"/>
    </w:rPr>
  </w:style>
  <w:style w:type="character" w:customStyle="1" w:styleId="82">
    <w:name w:val="标题 字符"/>
    <w:link w:val="34"/>
    <w:qFormat/>
    <w:uiPriority w:val="0"/>
    <w:rPr>
      <w:rFonts w:ascii="Arial" w:hAnsi="Arial"/>
      <w:b/>
      <w:position w:val="-14"/>
      <w:sz w:val="28"/>
    </w:rPr>
  </w:style>
  <w:style w:type="character" w:customStyle="1" w:styleId="83">
    <w:name w:val="正文文本 2 字符"/>
    <w:link w:val="33"/>
    <w:qFormat/>
    <w:uiPriority w:val="0"/>
    <w:rPr>
      <w:rFonts w:ascii="Arial" w:hAnsi="Arial"/>
      <w:position w:val="-14"/>
    </w:rPr>
  </w:style>
  <w:style w:type="character" w:customStyle="1" w:styleId="84">
    <w:name w:val="正文文本 3 字符"/>
    <w:link w:val="16"/>
    <w:qFormat/>
    <w:uiPriority w:val="0"/>
    <w:rPr>
      <w:kern w:val="2"/>
      <w:sz w:val="16"/>
      <w:szCs w:val="16"/>
    </w:rPr>
  </w:style>
  <w:style w:type="character" w:customStyle="1" w:styleId="85">
    <w:name w:val="正文文本缩进 字符"/>
    <w:link w:val="18"/>
    <w:qFormat/>
    <w:uiPriority w:val="0"/>
    <w:rPr>
      <w:kern w:val="2"/>
      <w:sz w:val="21"/>
      <w:szCs w:val="24"/>
    </w:rPr>
  </w:style>
  <w:style w:type="character" w:customStyle="1" w:styleId="86">
    <w:name w:val="文档结构图 字符"/>
    <w:link w:val="14"/>
    <w:semiHidden/>
    <w:qFormat/>
    <w:uiPriority w:val="0"/>
    <w:rPr>
      <w:kern w:val="2"/>
      <w:sz w:val="21"/>
      <w:szCs w:val="24"/>
      <w:shd w:val="clear" w:color="auto" w:fill="000080"/>
    </w:rPr>
  </w:style>
  <w:style w:type="character" w:customStyle="1" w:styleId="87">
    <w:name w:val="批注主题 字符"/>
    <w:link w:val="35"/>
    <w:semiHidden/>
    <w:qFormat/>
    <w:uiPriority w:val="0"/>
    <w:rPr>
      <w:b/>
      <w:bCs/>
      <w:kern w:val="2"/>
      <w:position w:val="-14"/>
      <w:sz w:val="21"/>
      <w:szCs w:val="24"/>
    </w:rPr>
  </w:style>
  <w:style w:type="character" w:customStyle="1" w:styleId="88">
    <w:name w:val="纯文本 字符"/>
    <w:link w:val="22"/>
    <w:qFormat/>
    <w:uiPriority w:val="0"/>
    <w:rPr>
      <w:rFonts w:ascii="宋体" w:hAnsi="Courier New"/>
      <w:kern w:val="2"/>
      <w:sz w:val="21"/>
    </w:rPr>
  </w:style>
  <w:style w:type="paragraph" w:customStyle="1" w:styleId="89">
    <w:name w:val="Char11"/>
    <w:basedOn w:val="1"/>
    <w:qFormat/>
    <w:uiPriority w:val="0"/>
    <w:pPr>
      <w:ind w:left="432" w:hanging="432"/>
    </w:pPr>
    <w:rPr>
      <w:sz w:val="24"/>
    </w:rPr>
  </w:style>
  <w:style w:type="paragraph" w:customStyle="1" w:styleId="90">
    <w:name w:val="列出段落1"/>
    <w:basedOn w:val="1"/>
    <w:qFormat/>
    <w:uiPriority w:val="34"/>
    <w:pPr>
      <w:ind w:firstLine="420" w:firstLineChars="200"/>
    </w:pPr>
  </w:style>
  <w:style w:type="paragraph" w:customStyle="1" w:styleId="91">
    <w:name w:val="Char3"/>
    <w:basedOn w:val="1"/>
    <w:qFormat/>
    <w:uiPriority w:val="0"/>
    <w:pPr>
      <w:ind w:left="432" w:hanging="432"/>
    </w:pPr>
    <w:rPr>
      <w:sz w:val="24"/>
    </w:rPr>
  </w:style>
  <w:style w:type="character" w:customStyle="1" w:styleId="92">
    <w:name w:val="样式 黑色2"/>
    <w:qFormat/>
    <w:uiPriority w:val="0"/>
    <w:rPr>
      <w:rFonts w:ascii="Times New Roman" w:hAnsi="Times New Roman" w:eastAsia="宋体"/>
      <w:color w:val="000000"/>
      <w:sz w:val="24"/>
    </w:rPr>
  </w:style>
  <w:style w:type="paragraph" w:customStyle="1" w:styleId="93">
    <w:name w:val="Char2"/>
    <w:basedOn w:val="1"/>
    <w:qFormat/>
    <w:uiPriority w:val="0"/>
    <w:pPr>
      <w:ind w:left="431" w:hanging="431"/>
    </w:pPr>
    <w:rPr>
      <w:sz w:val="24"/>
    </w:rPr>
  </w:style>
  <w:style w:type="paragraph" w:customStyle="1" w:styleId="94">
    <w:name w:val="黑色"/>
    <w:basedOn w:val="1"/>
    <w:link w:val="95"/>
    <w:qFormat/>
    <w:uiPriority w:val="0"/>
    <w:pPr>
      <w:snapToGrid w:val="0"/>
      <w:spacing w:beforeLines="50" w:afterLines="20" w:line="271" w:lineRule="auto"/>
      <w:ind w:firstLine="531" w:firstLineChars="200"/>
    </w:pPr>
    <w:rPr>
      <w:kern w:val="0"/>
      <w:sz w:val="24"/>
    </w:rPr>
  </w:style>
  <w:style w:type="character" w:customStyle="1" w:styleId="95">
    <w:name w:val="黑色 Char"/>
    <w:link w:val="94"/>
    <w:qFormat/>
    <w:uiPriority w:val="0"/>
    <w:rPr>
      <w:sz w:val="24"/>
      <w:szCs w:val="24"/>
    </w:rPr>
  </w:style>
  <w:style w:type="paragraph" w:customStyle="1" w:styleId="96">
    <w:name w:val="Char1"/>
    <w:basedOn w:val="1"/>
    <w:qFormat/>
    <w:uiPriority w:val="0"/>
    <w:pPr>
      <w:ind w:left="432" w:hanging="432"/>
    </w:pPr>
    <w:rPr>
      <w:sz w:val="24"/>
    </w:rPr>
  </w:style>
  <w:style w:type="paragraph" w:customStyle="1" w:styleId="97">
    <w:name w:val="样式 标题 3 + 加粗"/>
    <w:basedOn w:val="4"/>
    <w:qFormat/>
    <w:uiPriority w:val="0"/>
    <w:pPr>
      <w:numPr>
        <w:ilvl w:val="0"/>
        <w:numId w:val="0"/>
      </w:numPr>
      <w:spacing w:beforeLines="50" w:afterLines="50" w:line="240" w:lineRule="auto"/>
      <w:ind w:left="780" w:leftChars="200" w:hanging="360" w:hangingChars="200"/>
    </w:pPr>
  </w:style>
  <w:style w:type="character" w:customStyle="1" w:styleId="98">
    <w:name w:val="正文1 Char"/>
    <w:link w:val="43"/>
    <w:qFormat/>
    <w:locked/>
    <w:uiPriority w:val="0"/>
    <w:rPr>
      <w:rFonts w:ascii="宋体" w:hAnsi="宋体"/>
      <w:kern w:val="2"/>
      <w:sz w:val="21"/>
    </w:rPr>
  </w:style>
  <w:style w:type="paragraph" w:customStyle="1" w:styleId="99">
    <w:name w:val="样式3"/>
    <w:basedOn w:val="3"/>
    <w:qFormat/>
    <w:uiPriority w:val="0"/>
    <w:pPr>
      <w:numPr>
        <w:ilvl w:val="0"/>
        <w:numId w:val="0"/>
      </w:numPr>
      <w:tabs>
        <w:tab w:val="left" w:pos="525"/>
        <w:tab w:val="left" w:pos="720"/>
      </w:tabs>
      <w:spacing w:before="240" w:after="100" w:afterAutospacing="1" w:line="240" w:lineRule="auto"/>
      <w:jc w:val="left"/>
    </w:pPr>
    <w:rPr>
      <w:rFonts w:ascii="Times New Roman" w:hAnsi="Times New Roman"/>
      <w:bCs w:val="0"/>
      <w:sz w:val="32"/>
    </w:rPr>
  </w:style>
  <w:style w:type="paragraph" w:customStyle="1" w:styleId="100">
    <w:name w:val="样式4"/>
    <w:basedOn w:val="2"/>
    <w:qFormat/>
    <w:uiPriority w:val="0"/>
    <w:pPr>
      <w:keepNext w:val="0"/>
      <w:keepLines w:val="0"/>
      <w:pageBreakBefore/>
      <w:numPr>
        <w:numId w:val="0"/>
      </w:numPr>
      <w:tabs>
        <w:tab w:val="left" w:pos="567"/>
      </w:tabs>
      <w:spacing w:before="0" w:after="0" w:line="360" w:lineRule="auto"/>
      <w:jc w:val="center"/>
    </w:pPr>
    <w:rPr>
      <w:bCs w:val="0"/>
      <w:kern w:val="2"/>
      <w:szCs w:val="36"/>
    </w:rPr>
  </w:style>
  <w:style w:type="paragraph" w:customStyle="1" w:styleId="101">
    <w:name w:val="样式5"/>
    <w:basedOn w:val="99"/>
    <w:next w:val="1"/>
    <w:link w:val="102"/>
    <w:qFormat/>
    <w:uiPriority w:val="0"/>
    <w:pPr>
      <w:tabs>
        <w:tab w:val="left" w:pos="837"/>
        <w:tab w:val="clear" w:pos="720"/>
      </w:tabs>
      <w:ind w:left="837" w:hanging="567"/>
    </w:pPr>
  </w:style>
  <w:style w:type="character" w:customStyle="1" w:styleId="102">
    <w:name w:val="样式5 Char"/>
    <w:link w:val="101"/>
    <w:qFormat/>
    <w:uiPriority w:val="0"/>
    <w:rPr>
      <w:b/>
      <w:kern w:val="2"/>
      <w:sz w:val="32"/>
      <w:szCs w:val="32"/>
    </w:rPr>
  </w:style>
  <w:style w:type="paragraph" w:customStyle="1" w:styleId="103">
    <w:name w:val="Appendix 1"/>
    <w:basedOn w:val="2"/>
    <w:next w:val="12"/>
    <w:qFormat/>
    <w:uiPriority w:val="0"/>
    <w:pPr>
      <w:pageBreakBefore/>
      <w:numPr>
        <w:numId w:val="0"/>
      </w:numPr>
      <w:spacing w:after="120" w:line="240" w:lineRule="auto"/>
      <w:jc w:val="center"/>
    </w:pPr>
  </w:style>
  <w:style w:type="paragraph" w:customStyle="1" w:styleId="104">
    <w:name w:val="Appendix 2"/>
    <w:basedOn w:val="3"/>
    <w:next w:val="12"/>
    <w:qFormat/>
    <w:uiPriority w:val="0"/>
    <w:pPr>
      <w:numPr>
        <w:numId w:val="4"/>
      </w:numPr>
      <w:tabs>
        <w:tab w:val="left" w:pos="525"/>
        <w:tab w:val="left" w:pos="567"/>
        <w:tab w:val="left" w:pos="720"/>
        <w:tab w:val="clear" w:pos="576"/>
      </w:tabs>
      <w:spacing w:before="60" w:after="0" w:line="240" w:lineRule="auto"/>
    </w:pPr>
    <w:rPr>
      <w:rFonts w:ascii="Times New Roman" w:hAnsi="Times New Roman"/>
      <w:sz w:val="32"/>
    </w:rPr>
  </w:style>
  <w:style w:type="paragraph" w:customStyle="1" w:styleId="105">
    <w:name w:val="Appendix 3"/>
    <w:basedOn w:val="4"/>
    <w:next w:val="12"/>
    <w:qFormat/>
    <w:uiPriority w:val="0"/>
    <w:pPr>
      <w:numPr>
        <w:numId w:val="4"/>
      </w:numPr>
      <w:tabs>
        <w:tab w:val="left" w:pos="567"/>
      </w:tabs>
      <w:spacing w:before="60" w:after="0" w:line="240" w:lineRule="auto"/>
    </w:pPr>
    <w:rPr>
      <w:rFonts w:ascii="Times New Roman" w:hAnsi="Times New Roman"/>
      <w:sz w:val="28"/>
    </w:rPr>
  </w:style>
  <w:style w:type="paragraph" w:customStyle="1" w:styleId="106">
    <w:name w:val="Appendix 4"/>
    <w:basedOn w:val="5"/>
    <w:next w:val="12"/>
    <w:qFormat/>
    <w:uiPriority w:val="0"/>
    <w:pPr>
      <w:numPr>
        <w:numId w:val="4"/>
      </w:numPr>
      <w:tabs>
        <w:tab w:val="left" w:pos="567"/>
        <w:tab w:val="left" w:pos="840"/>
        <w:tab w:val="left" w:pos="1080"/>
        <w:tab w:val="clear" w:pos="864"/>
      </w:tabs>
      <w:spacing w:before="60" w:after="0" w:line="240" w:lineRule="auto"/>
    </w:pPr>
    <w:rPr>
      <w:rFonts w:ascii="Times New Roman" w:hAnsi="Times New Roman" w:eastAsia="宋体"/>
      <w:sz w:val="24"/>
    </w:rPr>
  </w:style>
  <w:style w:type="paragraph" w:customStyle="1" w:styleId="107">
    <w:name w:val="正文 A"/>
    <w:qFormat/>
    <w:uiPriority w:val="0"/>
    <w:pPr>
      <w:widowControl w:val="0"/>
      <w:jc w:val="both"/>
    </w:pPr>
    <w:rPr>
      <w:rFonts w:ascii="Times New Roman" w:hAnsi="Times New Roman" w:eastAsia="Times New Roman" w:cs="Times New Roman"/>
      <w:color w:val="000000"/>
      <w:kern w:val="2"/>
      <w:sz w:val="21"/>
      <w:szCs w:val="21"/>
      <w:u w:color="000000"/>
      <w:lang w:val="en-US" w:eastAsia="zh-CN" w:bidi="ar-SA"/>
    </w:rPr>
  </w:style>
  <w:style w:type="paragraph" w:customStyle="1" w:styleId="108">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09">
    <w:name w:val="TOC 标题1"/>
    <w:basedOn w:val="2"/>
    <w:next w:val="1"/>
    <w:unhideWhenUsed/>
    <w:qFormat/>
    <w:uiPriority w:val="39"/>
    <w:pPr>
      <w:widowControl/>
      <w:numPr>
        <w:numId w:val="0"/>
      </w:numPr>
      <w:spacing w:before="480" w:after="0" w:line="276" w:lineRule="auto"/>
      <w:jc w:val="left"/>
      <w:outlineLvl w:val="9"/>
    </w:pPr>
    <w:rPr>
      <w:rFonts w:ascii="Cambria" w:hAnsi="Cambria"/>
      <w:color w:val="365F91"/>
      <w:kern w:val="0"/>
      <w:sz w:val="28"/>
      <w:szCs w:val="28"/>
    </w:rPr>
  </w:style>
  <w:style w:type="paragraph" w:customStyle="1" w:styleId="110">
    <w:name w:val="列出段落2"/>
    <w:basedOn w:val="1"/>
    <w:qFormat/>
    <w:uiPriority w:val="34"/>
    <w:pPr>
      <w:ind w:firstLine="420" w:firstLineChars="200"/>
    </w:pPr>
  </w:style>
  <w:style w:type="paragraph" w:customStyle="1" w:styleId="111">
    <w:name w:val="列出段落21"/>
    <w:basedOn w:val="1"/>
    <w:qFormat/>
    <w:uiPriority w:val="34"/>
    <w:pPr>
      <w:ind w:firstLine="420" w:firstLineChars="200"/>
    </w:pPr>
  </w:style>
  <w:style w:type="paragraph" w:styleId="112">
    <w:name w:val="List Paragraph"/>
    <w:basedOn w:val="1"/>
    <w:qFormat/>
    <w:uiPriority w:val="99"/>
    <w:pPr>
      <w:ind w:firstLine="420" w:firstLineChars="200"/>
    </w:pPr>
  </w:style>
  <w:style w:type="paragraph" w:styleId="113">
    <w:name w:val="No Spacing"/>
    <w:qFormat/>
    <w:uiPriority w:val="1"/>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tyleName="APA" SelectedStyle="\APA.XSL"/>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C80F1C3-D756-41BC-843A-35C94049A704}">
  <ds:schemaRefs/>
</ds:datastoreItem>
</file>

<file path=docProps/app.xml><?xml version="1.0" encoding="utf-8"?>
<Properties xmlns="http://schemas.openxmlformats.org/officeDocument/2006/extended-properties" xmlns:vt="http://schemas.openxmlformats.org/officeDocument/2006/docPropsVTypes">
  <Company>Edan</Company>
  <Pages>16</Pages>
  <Words>4009</Words>
  <Characters>4371</Characters>
  <Lines>546</Lines>
  <Paragraphs>558</Paragraphs>
  <TotalTime>7</TotalTime>
  <ScaleCrop>false</ScaleCrop>
  <LinksUpToDate>false</LinksUpToDate>
  <CharactersWithSpaces>7822</CharactersWithSpaces>
  <Application>WPS Office WWO_dingtalk_20240221035043-c523bba0e7</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2025-09-26T18:44:00Z</dcterms:created>
  <dc:creator>瞿小丹</dc:creator>
  <cp:lastModifiedBy>bingbing 赵</cp:lastModifiedBy>
  <cp:lastPrinted>2013-07-31T17:06:00Z</cp:lastPrinted>
  <dcterms:modified xsi:type="dcterms:W3CDTF">2025-10-23T15:03:28Z</dcterms:modified>
  <dc:title>风险管理报告</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y fmtid="{D5CDD505-2E9C-101B-9397-08002B2CF9AE}" pid="3" name="ICV">
    <vt:lpwstr>32A60A58308F493BBDC2068BBE89D314</vt:lpwstr>
  </property>
  <property fmtid="{D5CDD505-2E9C-101B-9397-08002B2CF9AE}" pid="4" name="KSOTemplateDocerSaveRecord">
    <vt:lpwstr>eyJoZGlkIjoiNjY1YjAxM2YwMTA4MzNkOTZmYjVjOTU1NjQ1Mzc1YTYiLCJ1c2VySWQiOiI2NTIyNzY3MTgifQ==</vt:lpwstr>
  </property>
</Properties>
</file>